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Times New Roman"/>
        </w:rPr>
      </w:pPr>
      <w:r>
        <w:rPr>
          <w:rFonts w:cs="Times New Roman"/>
          <w:b/>
        </w:rPr>
        <w:t xml:space="preserve">Allegato 2 - OGGETTO: </w:t>
      </w:r>
      <w:r>
        <w:rPr>
          <w:rFonts w:cs="Times New Roman"/>
        </w:rPr>
        <w:t>DICHIARAZIONE SOSTITUIVA DI ASSENZA DI CAUSE DI ESCLUSIONE</w:t>
      </w:r>
    </w:p>
    <w:p>
      <w:pPr>
        <w:pStyle w:val="Normal"/>
        <w:jc w:val="center"/>
        <w:rPr>
          <w:rFonts w:cs="Times New Roman"/>
          <w:b/>
          <w:b/>
        </w:rPr>
      </w:pPr>
      <w:r>
        <w:rPr>
          <w:rFonts w:cs="Times New Roman"/>
          <w:b/>
        </w:rPr>
        <w:t>(artt. 46 e 47 DPR n.445/2000 e art. 94 e ss. del D.Lgs.36/2023)</w:t>
      </w:r>
    </w:p>
    <w:p>
      <w:pPr>
        <w:pStyle w:val="Corpodeltesto"/>
        <w:tabs>
          <w:tab w:val="clear" w:pos="708"/>
          <w:tab w:val="left" w:pos="3531" w:leader="none"/>
        </w:tabs>
        <w:spacing w:lineRule="auto" w:line="360" w:before="34" w:after="120"/>
        <w:ind w:left="193" w:right="127" w:hanging="0"/>
        <w:jc w:val="both"/>
        <w:rPr>
          <w:rFonts w:cs="Times New Roman"/>
        </w:rPr>
      </w:pPr>
      <w:r>
        <w:rPr>
          <w:rFonts w:cs="Times New Roman"/>
        </w:rPr>
        <w:t>Il/la sottoscritto/a__________________________________nato/a ______________________________ (Prov.____) il _______/_______/________,C.F ________________________________ residente a _________________________________________ (Prov ____) CAP____________ Via/Piazza _____________________n._____, nella sua qualità di ________________________________________ con sede legale in _________________________________________________________, (Prov _____)Via/P.zza________________________________, n ____C.F.__________________________________ e P.I. ______________________________________,n.tel/cell._________________________________ pec:_____________________________________________________, di seguito “Operatore Economico”, sotto la propria responsabilità e c</w:t>
      </w:r>
      <w:r>
        <w:rPr>
          <w:rFonts w:eastAsia="Arial MT" w:cs="Times New Roman"/>
        </w:rPr>
        <w:t>onsapevole delle sanzioni penali in caso di dichiarazioni false e della conseguente decadenza dai benefici eventualmente conseguiti (ai sensi degli artt. 75 e 76 D.P.R. 445/2000) nonché delle conseguenze amministrative di esclusione dalle gare di cui al Decreto Legislativo n.36/2023e s.m.i. e alla normativa vigente in materia,</w:t>
      </w:r>
    </w:p>
    <w:p>
      <w:pPr>
        <w:pStyle w:val="Normal"/>
        <w:spacing w:lineRule="auto" w:line="240" w:before="0" w:after="0"/>
        <w:jc w:val="center"/>
        <w:rPr>
          <w:rFonts w:cs="Times New Roman"/>
          <w:b/>
          <w:b/>
        </w:rPr>
      </w:pPr>
      <w:r>
        <w:rPr>
          <w:rFonts w:cs="Times New Roman"/>
          <w:b/>
        </w:rPr>
        <w:t xml:space="preserve">D I C H I A R A </w:t>
      </w:r>
    </w:p>
    <w:p>
      <w:pPr>
        <w:pStyle w:val="Normal"/>
        <w:spacing w:lineRule="auto" w:line="240" w:before="0" w:after="0"/>
        <w:jc w:val="center"/>
        <w:rPr>
          <w:rFonts w:cs="Times New Roman"/>
          <w:b/>
          <w:b/>
        </w:rPr>
      </w:pPr>
      <w:r>
        <w:rPr>
          <w:rFonts w:cs="Times New Roman"/>
          <w:b/>
        </w:rPr>
      </w:r>
    </w:p>
    <w:p>
      <w:pPr>
        <w:pStyle w:val="ListParagraph"/>
        <w:ind w:left="360" w:hanging="0"/>
        <w:rPr>
          <w:rFonts w:cs="Times New Roman"/>
          <w:b/>
          <w:b/>
        </w:rPr>
      </w:pPr>
      <w:r>
        <w:rPr>
          <w:rFonts w:cs="Times New Roman"/>
          <w:b/>
        </w:rPr>
        <w:t>1. DATI GENERALI DELL'OPERATORE ECONOMICO</w:t>
      </w:r>
    </w:p>
    <w:p>
      <w:pPr>
        <w:pStyle w:val="Normal"/>
        <w:spacing w:lineRule="auto" w:line="360"/>
        <w:jc w:val="both"/>
        <w:rPr>
          <w:rFonts w:cs="Times New Roman"/>
        </w:rPr>
      </w:pPr>
      <w:r>
        <w:rPr>
          <w:rFonts w:cs="Times New Roman"/>
          <w:b/>
        </w:rPr>
        <w:t xml:space="preserve">1.1 </w:t>
      </w:r>
      <w:r>
        <w:rPr>
          <w:rFonts w:cs="Times New Roman"/>
        </w:rPr>
        <w:t xml:space="preserve">Denominazione ____________________________________________________________ (nato/a__________________, il ______________) Codice fiscale ________________________ Partita IVA ___________________, Sede legale in__________________________________________________________ (____) via/piazza ____________________________________n.________ CAP ___________ tel. ___________________, cell._________________________, pec__________________________________________________  (eventuale) Sede operativa in _____________________________________ ( ) via/piazza________________________n.______ CAP ___________ Attività ________________________________________________________________________________ </w:t>
      </w:r>
    </w:p>
    <w:p>
      <w:pPr>
        <w:pStyle w:val="Normal"/>
        <w:jc w:val="both"/>
        <w:rPr>
          <w:rFonts w:cs="Times New Roman"/>
        </w:rPr>
      </w:pPr>
      <w:r>
        <w:rPr>
          <w:rFonts w:cs="Times New Roman"/>
          <w:b/>
          <w:u w:val="single"/>
        </w:rPr>
        <w:t>1.2</w:t>
      </w:r>
      <w:r>
        <w:rPr>
          <w:rFonts w:cs="Times New Roman"/>
        </w:rPr>
        <w:t xml:space="preserve"> che a carico del suddetto operatore economico non sono in corso cancellazioni dai relativi registri della C.C.I.A.A.;</w:t>
      </w:r>
    </w:p>
    <w:p>
      <w:pPr>
        <w:pStyle w:val="Normal"/>
        <w:jc w:val="both"/>
        <w:rPr>
          <w:rFonts w:cs="Times New Roman"/>
          <w:b/>
          <w:b/>
          <w:u w:val="single"/>
        </w:rPr>
      </w:pPr>
      <w:r>
        <w:rPr>
          <w:rFonts w:cs="Times New Roman"/>
          <w:b/>
          <w:u w:val="single"/>
        </w:rPr>
      </w:r>
    </w:p>
    <w:p>
      <w:pPr>
        <w:pStyle w:val="Normal"/>
        <w:jc w:val="both"/>
        <w:rPr>
          <w:rFonts w:cs="Times New Roman"/>
        </w:rPr>
      </w:pPr>
      <w:r>
        <w:rPr>
          <w:rFonts w:cs="Times New Roman"/>
          <w:b/>
          <w:u w:val="single"/>
        </w:rPr>
        <w:t>1.3</w:t>
      </w:r>
      <w:r>
        <w:rPr>
          <w:rFonts w:cs="Times New Roman"/>
        </w:rPr>
        <w:t xml:space="preserve"> di essere in regola con gli adempimenti contributivi e previdenziali nei confronti dei seguenti Enti Previdenziali (INPS, INAIL, CASSA EDILE, INARCASSA, EPAP ecc…):</w:t>
      </w:r>
    </w:p>
    <w:p>
      <w:pPr>
        <w:pStyle w:val="ListParagraph"/>
        <w:ind w:left="567" w:hanging="0"/>
        <w:jc w:val="both"/>
        <w:rPr>
          <w:rFonts w:cs="Times New Roman"/>
          <w:b/>
          <w:b/>
          <w:u w:val="single"/>
        </w:rPr>
      </w:pPr>
      <w:r>
        <w:rPr>
          <w:rFonts w:cs="Times New Roman"/>
          <w:b/>
          <w:u w:val="single"/>
        </w:rPr>
        <w:t>________________________________________________________________________</w:t>
      </w:r>
    </w:p>
    <w:p>
      <w:pPr>
        <w:pStyle w:val="ListParagraph"/>
        <w:ind w:left="567" w:hanging="0"/>
        <w:jc w:val="both"/>
        <w:rPr>
          <w:rFonts w:cs="Times New Roman"/>
        </w:rPr>
      </w:pPr>
      <w:r>
        <w:rPr>
          <w:rFonts w:cs="Times New Roman"/>
        </w:rPr>
        <w:t>________________________________________________________________________</w:t>
      </w:r>
    </w:p>
    <w:p>
      <w:pPr>
        <w:pStyle w:val="ListParagraph"/>
        <w:ind w:left="567" w:hanging="0"/>
        <w:jc w:val="both"/>
        <w:rPr>
          <w:rFonts w:cs="Times New Roman"/>
        </w:rPr>
      </w:pPr>
      <w:r>
        <w:rPr>
          <w:rFonts w:cs="Times New Roman"/>
        </w:rPr>
        <w:t>________________________________________________________________________</w:t>
      </w:r>
    </w:p>
    <w:p>
      <w:pPr>
        <w:pStyle w:val="ListParagraph"/>
        <w:jc w:val="both"/>
        <w:rPr>
          <w:rFonts w:cs="Times New Roman"/>
        </w:rPr>
      </w:pPr>
      <w:r>
        <w:rPr>
          <w:rFonts w:cs="Times New Roman"/>
        </w:rPr>
      </w:r>
    </w:p>
    <w:p>
      <w:pPr>
        <w:pStyle w:val="Normal"/>
        <w:jc w:val="both"/>
        <w:rPr>
          <w:rFonts w:cs="Times New Roman"/>
        </w:rPr>
      </w:pPr>
      <w:r>
        <w:rPr>
          <w:rFonts w:cs="Times New Roman"/>
          <w:b/>
          <w:u w:val="single"/>
        </w:rPr>
        <w:t xml:space="preserve">1.4 </w:t>
      </w:r>
      <w:r>
        <w:rPr>
          <w:rFonts w:cs="Times New Roman"/>
        </w:rPr>
        <w:t>che i dati relativi ai propri organi sono i seguenti (art. 94, comma 3) (</w:t>
      </w:r>
      <w:r>
        <w:rPr>
          <w:rFonts w:cs="Times New Roman"/>
          <w:i/>
        </w:rPr>
        <w:t>compilare</w:t>
      </w:r>
      <w:r>
        <w:rPr>
          <w:rFonts w:cs="Times New Roman"/>
        </w:rPr>
        <w:t xml:space="preserve"> </w:t>
      </w:r>
      <w:r>
        <w:rPr>
          <w:rFonts w:cs="Times New Roman"/>
          <w:i/>
        </w:rPr>
        <w:t>se applicabile all’appalto in oggetto e/o per le parti attinenti</w:t>
      </w:r>
      <w:r>
        <w:rPr>
          <w:rFonts w:cs="Times New Roman"/>
        </w:rPr>
        <w:t>):</w:t>
      </w:r>
    </w:p>
    <w:p>
      <w:pPr>
        <w:pStyle w:val="Normal"/>
        <w:jc w:val="both"/>
        <w:rPr>
          <w:rFonts w:cs="Times New Roman"/>
        </w:rPr>
      </w:pPr>
      <w:r>
        <w:rPr>
          <w:rFonts w:cs="Times New Roman"/>
        </w:rPr>
        <w:t>TITOLARE IMPRESA INDIVIDUALE / AMMINISTRATORE CON LEGALE RAPPRESENTANZA / AMMINISTRATORE DI FATTO/INSTITORE / PROCURATORE/LIBERO PROFESSIONISTA</w:t>
      </w:r>
    </w:p>
    <w:tbl>
      <w:tblPr>
        <w:tblW w:w="9528" w:type="dxa"/>
        <w:jc w:val="left"/>
        <w:tblInd w:w="106" w:type="dxa"/>
        <w:tblCellMar>
          <w:top w:w="0" w:type="dxa"/>
          <w:left w:w="70" w:type="dxa"/>
          <w:bottom w:w="0" w:type="dxa"/>
          <w:right w:w="70" w:type="dxa"/>
        </w:tblCellMar>
        <w:tblLook w:val="0000"/>
      </w:tblPr>
      <w:tblGrid>
        <w:gridCol w:w="2090"/>
        <w:gridCol w:w="1275"/>
        <w:gridCol w:w="1560"/>
        <w:gridCol w:w="2835"/>
        <w:gridCol w:w="1768"/>
      </w:tblGrid>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Cognome</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Nome</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 xml:space="preserve">Data di nascita </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Luogo di nascita e Residenza</w:t>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Ruolo/Carica:</w:t>
            </w:r>
          </w:p>
        </w:tc>
      </w:tr>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r>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r>
      <w:tr>
        <w:trPr>
          <w:trHeight w:val="453"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r>
    </w:tbl>
    <w:p>
      <w:pPr>
        <w:pStyle w:val="Normal"/>
        <w:jc w:val="both"/>
        <w:rPr>
          <w:rFonts w:cs="Times New Roman"/>
        </w:rPr>
      </w:pPr>
      <w:r>
        <w:rPr>
          <w:rFonts w:cs="Times New Roman"/>
        </w:rPr>
        <w:t>DIRETTORE TECNICO:</w:t>
      </w:r>
    </w:p>
    <w:tbl>
      <w:tblPr>
        <w:tblW w:w="9528" w:type="dxa"/>
        <w:jc w:val="left"/>
        <w:tblInd w:w="106" w:type="dxa"/>
        <w:tblCellMar>
          <w:top w:w="0" w:type="dxa"/>
          <w:left w:w="70" w:type="dxa"/>
          <w:bottom w:w="0" w:type="dxa"/>
          <w:right w:w="70" w:type="dxa"/>
        </w:tblCellMar>
        <w:tblLook w:val="0000"/>
      </w:tblPr>
      <w:tblGrid>
        <w:gridCol w:w="2090"/>
        <w:gridCol w:w="1275"/>
        <w:gridCol w:w="1560"/>
        <w:gridCol w:w="2835"/>
        <w:gridCol w:w="1768"/>
      </w:tblGrid>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Cognome</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Nome</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 xml:space="preserve">Data di nascita </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Luogo di nascita</w:t>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Residenza</w:t>
            </w:r>
          </w:p>
        </w:tc>
      </w:tr>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r>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r>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r>
    </w:tbl>
    <w:p>
      <w:pPr>
        <w:pStyle w:val="Normal"/>
        <w:jc w:val="both"/>
        <w:rPr>
          <w:rFonts w:cs="Times New Roman"/>
        </w:rPr>
      </w:pPr>
      <w:r>
        <w:rPr>
          <w:rFonts w:cs="Times New Roman"/>
        </w:rPr>
        <w:t>SOCIO UNICO/SOCIO AMMINISTRATORE SNC/ SOCIO ACCOMANDATARIO SAS:</w:t>
      </w:r>
    </w:p>
    <w:tbl>
      <w:tblPr>
        <w:tblW w:w="9528" w:type="dxa"/>
        <w:jc w:val="left"/>
        <w:tblInd w:w="106" w:type="dxa"/>
        <w:tblCellMar>
          <w:top w:w="0" w:type="dxa"/>
          <w:left w:w="70" w:type="dxa"/>
          <w:bottom w:w="0" w:type="dxa"/>
          <w:right w:w="70" w:type="dxa"/>
        </w:tblCellMar>
        <w:tblLook w:val="0000"/>
      </w:tblPr>
      <w:tblGrid>
        <w:gridCol w:w="2090"/>
        <w:gridCol w:w="1275"/>
        <w:gridCol w:w="1560"/>
        <w:gridCol w:w="2835"/>
        <w:gridCol w:w="1768"/>
      </w:tblGrid>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Cognome/Ragione Sociale:</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Nome</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 xml:space="preserve">Data di nascita/P.IVA </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Luogo di nascita e residenza/ Sede Legale</w:t>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Ruolo/Carica:</w:t>
            </w:r>
          </w:p>
        </w:tc>
      </w:tr>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r>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r>
          </w:p>
        </w:tc>
      </w:tr>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76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r>
    </w:tbl>
    <w:p>
      <w:pPr>
        <w:pStyle w:val="Normal"/>
        <w:jc w:val="both"/>
        <w:rPr>
          <w:rFonts w:cs="Times New Roman"/>
        </w:rPr>
      </w:pPr>
      <w:r>
        <w:rPr>
          <w:rFonts w:cs="Times New Roman"/>
        </w:rPr>
        <w:t>SINDACI e/o ORGANI DI VIGILANZA (soggetti muniti di poteri di direzione, vigilanza e/o controllo):</w:t>
      </w:r>
    </w:p>
    <w:tbl>
      <w:tblPr>
        <w:tblW w:w="9528" w:type="dxa"/>
        <w:jc w:val="left"/>
        <w:tblInd w:w="106" w:type="dxa"/>
        <w:tblCellMar>
          <w:top w:w="0" w:type="dxa"/>
          <w:left w:w="70" w:type="dxa"/>
          <w:bottom w:w="0" w:type="dxa"/>
          <w:right w:w="70" w:type="dxa"/>
        </w:tblCellMar>
        <w:tblLook w:val="0000"/>
      </w:tblPr>
      <w:tblGrid>
        <w:gridCol w:w="2090"/>
        <w:gridCol w:w="1417"/>
        <w:gridCol w:w="2051"/>
        <w:gridCol w:w="1844"/>
        <w:gridCol w:w="2126"/>
      </w:tblGrid>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Cognome/RAGIONE SOCIALE</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Nome</w:t>
            </w:r>
          </w:p>
        </w:tc>
        <w:tc>
          <w:tcPr>
            <w:tcW w:w="205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 xml:space="preserve">Data di nascita/P.IVA </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Luogo di nascita e residenza/ SEDE LEGALE</w:t>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b/>
                <w:b/>
              </w:rPr>
            </w:pPr>
            <w:r>
              <w:rPr>
                <w:rFonts w:cs="Times New Roman"/>
                <w:b/>
              </w:rPr>
              <w:t>RUOLO/CARICA:</w:t>
            </w:r>
          </w:p>
        </w:tc>
      </w:tr>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05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r>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05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r>
      <w:tr>
        <w:trPr>
          <w:trHeight w:val="285" w:hRule="atLeast"/>
        </w:trPr>
        <w:tc>
          <w:tcPr>
            <w:tcW w:w="20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05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c>
          <w:tcPr>
            <w:tcW w:w="212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cs="Times New Roman"/>
              </w:rPr>
            </w:pPr>
            <w:r>
              <w:rPr>
                <w:rFonts w:cs="Times New Roman"/>
              </w:rPr>
            </w:r>
          </w:p>
        </w:tc>
      </w:tr>
    </w:tbl>
    <w:p>
      <w:pPr>
        <w:pStyle w:val="Normal"/>
        <w:jc w:val="both"/>
        <w:rPr/>
      </w:pPr>
      <w:r>
        <w:rPr/>
      </w:r>
    </w:p>
    <w:p>
      <w:pPr>
        <w:pStyle w:val="Normal"/>
        <w:jc w:val="center"/>
        <w:rPr>
          <w:rFonts w:cs="Times New Roman"/>
          <w:b/>
          <w:b/>
        </w:rPr>
      </w:pPr>
      <w:r>
        <w:rPr>
          <w:rFonts w:cs="Times New Roman"/>
          <w:b/>
        </w:rPr>
        <w:t>DICHIARA ALTRESÌ</w:t>
      </w:r>
    </w:p>
    <w:p>
      <w:pPr>
        <w:pStyle w:val="Normal"/>
        <w:rPr>
          <w:b/>
          <w:b/>
        </w:rPr>
      </w:pPr>
      <w:r>
        <w:rPr>
          <w:b/>
        </w:rPr>
        <w:t xml:space="preserve">2. REQUISITI DI PARTECIPAZIONE </w:t>
      </w:r>
    </w:p>
    <w:p>
      <w:pPr>
        <w:pStyle w:val="Normal"/>
        <w:jc w:val="both"/>
        <w:rPr>
          <w:rFonts w:cs="Arial"/>
          <w:color w:val="000000"/>
        </w:rPr>
      </w:pPr>
      <w:r>
        <w:rPr>
          <w:rFonts w:cs="Arial"/>
          <w:b/>
          <w:u w:val="single"/>
        </w:rPr>
        <w:t xml:space="preserve">2.1 </w:t>
      </w:r>
      <w:r>
        <w:rPr>
          <w:rFonts w:cs="Arial"/>
        </w:rPr>
        <w:t xml:space="preserve">l’inesistenza delle cause di esclusione </w:t>
      </w:r>
      <w:r>
        <w:rPr>
          <w:rFonts w:cs="Arial"/>
          <w:color w:val="000000"/>
        </w:rPr>
        <w:t xml:space="preserve">dalla partecipazione </w:t>
      </w:r>
      <w:r>
        <w:rPr>
          <w:rFonts w:cs="Arial"/>
        </w:rPr>
        <w:t>elencate nell’art</w:t>
      </w:r>
      <w:r>
        <w:rPr>
          <w:rFonts w:cs="Arial"/>
          <w:b/>
        </w:rPr>
        <w:t>. 94</w:t>
      </w:r>
      <w:r>
        <w:rPr>
          <w:rFonts w:cs="Arial"/>
        </w:rPr>
        <w:t xml:space="preserve"> del D.lgs. n. 36/2023, ed in particolare:</w:t>
      </w:r>
    </w:p>
    <w:p>
      <w:pPr>
        <w:pStyle w:val="Normal"/>
        <w:jc w:val="both"/>
        <w:rPr>
          <w:rFonts w:cs="Arial"/>
        </w:rPr>
      </w:pPr>
      <w:r>
        <w:rPr>
          <w:rFonts w:cs="Arial"/>
        </w:rPr>
        <w:t>- che nei propri confronti e nei confronti dei soggetti sopra indicati (art. 94, comma 3, del D.Lgs. 36/2023) non è stata pronunciata sentenza definitiva di condanna o emesso decreto penale di condanna divenuto irrevocabile, per uno dei seguenti reati</w:t>
      </w:r>
      <w:r>
        <w:rPr>
          <w:rFonts w:cs="Arial"/>
          <w:i/>
          <w:sz w:val="20"/>
          <w:szCs w:val="20"/>
        </w:rPr>
        <w:t>(*ai sensi dell’art. 94, comma 7, del D.Lgs. 36/2023,</w:t>
      </w:r>
      <w:r>
        <w:rPr>
          <w:rFonts w:eastAsia="Times New Roman" w:cs="Arial"/>
          <w:i/>
          <w:sz w:val="20"/>
          <w:szCs w:val="20"/>
          <w:lang w:eastAsia="it-IT"/>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Pr>
          <w:rFonts w:eastAsia="Times New Roman" w:cs="Arial"/>
          <w:lang w:eastAsia="it-IT"/>
        </w:rPr>
        <w:t>):</w:t>
      </w:r>
    </w:p>
    <w:p>
      <w:pPr>
        <w:pStyle w:val="ListParagraph"/>
        <w:numPr>
          <w:ilvl w:val="1"/>
          <w:numId w:val="2"/>
        </w:numPr>
        <w:ind w:left="567" w:hanging="567"/>
        <w:jc w:val="both"/>
        <w:rPr>
          <w:rFonts w:eastAsia="Times New Roman" w:cs="Arial"/>
          <w:lang w:eastAsia="it-IT"/>
        </w:rPr>
      </w:pPr>
      <w:r>
        <w:rPr>
          <w:rFonts w:eastAsia="Times New Roman" w:cs="Arial"/>
          <w:lang w:eastAsia="it-IT"/>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aldecreto del Presidente della Repubblica 9 ottobre 1990, n. 309,dall'articolo 291-quater del testo unico delle disposizioni legislative in materia doganale, di cui al decreto del Presidente della Repubblica 23 gennaio 1973, n. 43 e dall'articolo 452-quaterdieces del codice penale,in quanto riconducibili alla partecipazione a un'organizzazione criminale, quale definita all'articolo 2 della decisione quadro 2008/841/GAI del Consiglio dell’Unione europea, del 24 ottobre 2008;</w:t>
      </w:r>
    </w:p>
    <w:p>
      <w:pPr>
        <w:pStyle w:val="ListParagraph"/>
        <w:ind w:left="0" w:hanging="0"/>
        <w:jc w:val="both"/>
        <w:rPr>
          <w:rFonts w:eastAsia="Times New Roman" w:cs="Arial"/>
          <w:lang w:eastAsia="it-IT"/>
        </w:rPr>
      </w:pPr>
      <w:r>
        <w:rPr>
          <w:rFonts w:eastAsia="Times New Roman" w:cs="Arial"/>
          <w:lang w:eastAsia="it-IT"/>
        </w:rPr>
      </w:r>
    </w:p>
    <w:p>
      <w:pPr>
        <w:pStyle w:val="ListParagraph"/>
        <w:numPr>
          <w:ilvl w:val="1"/>
          <w:numId w:val="2"/>
        </w:numPr>
        <w:ind w:left="567" w:hanging="567"/>
        <w:jc w:val="both"/>
        <w:rPr>
          <w:rFonts w:eastAsia="Times New Roman" w:cs="Arial"/>
          <w:lang w:eastAsia="it-IT"/>
        </w:rPr>
      </w:pPr>
      <w:r>
        <w:rPr>
          <w:rFonts w:eastAsia="Times New Roman" w:cs="Arial"/>
          <w:lang w:eastAsia="it-IT"/>
        </w:rPr>
        <w:t>delitti, consumati o tentati, di cui agli articoli 317, 318, 319, 319-ter,319-quater, 320, 321, 322, 322-bis, 346-bis, 353, 353-bis, 354, 355 e356 del codice penale nonché all'articolo 2635 del codice civile;</w:t>
      </w:r>
    </w:p>
    <w:p>
      <w:pPr>
        <w:pStyle w:val="ListParagraph"/>
        <w:ind w:left="0" w:hanging="0"/>
        <w:jc w:val="both"/>
        <w:rPr>
          <w:rFonts w:eastAsia="Times New Roman" w:cs="Arial"/>
          <w:lang w:eastAsia="it-IT"/>
        </w:rPr>
      </w:pPr>
      <w:r>
        <w:rPr>
          <w:rFonts w:eastAsia="Times New Roman" w:cs="Arial"/>
          <w:lang w:eastAsia="it-IT"/>
        </w:rPr>
      </w:r>
    </w:p>
    <w:p>
      <w:pPr>
        <w:pStyle w:val="ListParagraph"/>
        <w:numPr>
          <w:ilvl w:val="1"/>
          <w:numId w:val="2"/>
        </w:numPr>
        <w:ind w:left="567" w:hanging="567"/>
        <w:jc w:val="both"/>
        <w:rPr>
          <w:rFonts w:eastAsia="Times New Roman" w:cs="Arial"/>
          <w:lang w:eastAsia="it-IT"/>
        </w:rPr>
      </w:pPr>
      <w:r>
        <w:rPr>
          <w:rFonts w:eastAsia="Times New Roman" w:cs="Arial"/>
          <w:lang w:eastAsia="it-IT"/>
        </w:rPr>
        <w:t>false comunicazioni sociali di cui agli articoli 2621 e 2622 del codice civile;</w:t>
      </w:r>
    </w:p>
    <w:p>
      <w:pPr>
        <w:pStyle w:val="ListParagraph"/>
        <w:ind w:left="0" w:hanging="0"/>
        <w:jc w:val="both"/>
        <w:rPr>
          <w:rFonts w:eastAsia="Times New Roman" w:cs="Arial"/>
          <w:lang w:eastAsia="it-IT"/>
        </w:rPr>
      </w:pPr>
      <w:r>
        <w:rPr>
          <w:rFonts w:eastAsia="Times New Roman" w:cs="Arial"/>
          <w:lang w:eastAsia="it-IT"/>
        </w:rPr>
      </w:r>
    </w:p>
    <w:p>
      <w:pPr>
        <w:pStyle w:val="ListParagraph"/>
        <w:numPr>
          <w:ilvl w:val="1"/>
          <w:numId w:val="2"/>
        </w:numPr>
        <w:ind w:left="567" w:hanging="567"/>
        <w:jc w:val="both"/>
        <w:rPr>
          <w:rFonts w:eastAsia="Times New Roman" w:cs="Arial"/>
          <w:lang w:eastAsia="it-IT"/>
        </w:rPr>
      </w:pPr>
      <w:r>
        <w:rPr>
          <w:rFonts w:eastAsia="Times New Roman" w:cs="Arial"/>
          <w:lang w:eastAsia="it-IT"/>
        </w:rPr>
        <w:t>frode ai sensi dell'articolo 1 della convenzione relativa alla tutela degli interessi finanziari delle Comunità europee, del 26 luglio 1995;</w:t>
      </w:r>
    </w:p>
    <w:p>
      <w:pPr>
        <w:pStyle w:val="ListParagraph"/>
        <w:ind w:left="0" w:hanging="0"/>
        <w:jc w:val="both"/>
        <w:rPr>
          <w:rFonts w:eastAsia="Times New Roman" w:cs="Arial"/>
          <w:lang w:eastAsia="it-IT"/>
        </w:rPr>
      </w:pPr>
      <w:r>
        <w:rPr>
          <w:rFonts w:eastAsia="Times New Roman" w:cs="Arial"/>
          <w:lang w:eastAsia="it-IT"/>
        </w:rPr>
      </w:r>
    </w:p>
    <w:p>
      <w:pPr>
        <w:pStyle w:val="ListParagraph"/>
        <w:numPr>
          <w:ilvl w:val="1"/>
          <w:numId w:val="2"/>
        </w:numPr>
        <w:ind w:left="567" w:hanging="567"/>
        <w:jc w:val="both"/>
        <w:rPr>
          <w:rFonts w:eastAsia="Times New Roman" w:cs="Arial"/>
          <w:lang w:eastAsia="it-IT"/>
        </w:rPr>
      </w:pPr>
      <w:r>
        <w:rPr>
          <w:rFonts w:eastAsia="Times New Roman" w:cs="Arial"/>
          <w:lang w:eastAsia="it-IT"/>
        </w:rPr>
        <w:t>delitti, consumati o tentati, commessi con finalità di terrorismo, anche internazionale, e di eversione dell'ordine costituzionale reati terroristici o reati connessi alle attività terroristiche;</w:t>
      </w:r>
    </w:p>
    <w:p>
      <w:pPr>
        <w:pStyle w:val="ListParagraph"/>
        <w:ind w:left="0" w:hanging="0"/>
        <w:jc w:val="both"/>
        <w:rPr>
          <w:rFonts w:eastAsia="Times New Roman" w:cs="Arial"/>
          <w:lang w:eastAsia="it-IT"/>
        </w:rPr>
      </w:pPr>
      <w:r>
        <w:rPr>
          <w:rFonts w:eastAsia="Times New Roman" w:cs="Arial"/>
          <w:lang w:eastAsia="it-IT"/>
        </w:rPr>
      </w:r>
    </w:p>
    <w:p>
      <w:pPr>
        <w:pStyle w:val="ListParagraph"/>
        <w:numPr>
          <w:ilvl w:val="1"/>
          <w:numId w:val="2"/>
        </w:numPr>
        <w:ind w:left="567" w:hanging="567"/>
        <w:jc w:val="both"/>
        <w:rPr>
          <w:rFonts w:eastAsia="Times New Roman" w:cs="Arial"/>
          <w:lang w:eastAsia="it-IT"/>
        </w:rPr>
      </w:pPr>
      <w:r>
        <w:rPr>
          <w:rFonts w:eastAsia="Times New Roman" w:cs="Arial"/>
          <w:lang w:eastAsia="it-IT"/>
        </w:rPr>
        <w:t>delitti di cui agli articoli 648-bis, 648-ter e 648-ter.1 del codice penale,riciclaggio di proventi di attività criminose o finanziamento del terrorismo, quali definiti all'articolo 1 del decreto legislativo 22 giugno 2007,n. 109;</w:t>
      </w:r>
    </w:p>
    <w:p>
      <w:pPr>
        <w:pStyle w:val="ListParagraph"/>
        <w:ind w:left="0" w:hanging="0"/>
        <w:jc w:val="both"/>
        <w:rPr>
          <w:rFonts w:eastAsia="Times New Roman" w:cs="Arial"/>
          <w:lang w:eastAsia="it-IT"/>
        </w:rPr>
      </w:pPr>
      <w:r>
        <w:rPr>
          <w:rFonts w:eastAsia="Times New Roman" w:cs="Arial"/>
          <w:lang w:eastAsia="it-IT"/>
        </w:rPr>
      </w:r>
    </w:p>
    <w:p>
      <w:pPr>
        <w:pStyle w:val="ListParagraph"/>
        <w:numPr>
          <w:ilvl w:val="1"/>
          <w:numId w:val="2"/>
        </w:numPr>
        <w:ind w:left="567" w:hanging="567"/>
        <w:jc w:val="both"/>
        <w:rPr>
          <w:rFonts w:eastAsia="Times New Roman" w:cs="Arial"/>
          <w:lang w:eastAsia="it-IT"/>
        </w:rPr>
      </w:pPr>
      <w:r>
        <w:rPr>
          <w:rFonts w:eastAsia="Times New Roman" w:cs="Arial"/>
          <w:lang w:eastAsia="it-IT"/>
        </w:rPr>
        <w:t>sfruttamento del lavoro minorile e altre forme di tratta di esseri umani definite con il decreto legislativo 4 marzo 2014, n. 24;</w:t>
      </w:r>
    </w:p>
    <w:p>
      <w:pPr>
        <w:pStyle w:val="ListParagraph"/>
        <w:ind w:left="0" w:hanging="0"/>
        <w:jc w:val="both"/>
        <w:rPr>
          <w:rFonts w:eastAsia="Times New Roman" w:cs="Arial"/>
          <w:lang w:eastAsia="it-IT"/>
        </w:rPr>
      </w:pPr>
      <w:r>
        <w:rPr>
          <w:rFonts w:eastAsia="Times New Roman" w:cs="Arial"/>
          <w:lang w:eastAsia="it-IT"/>
        </w:rPr>
      </w:r>
    </w:p>
    <w:p>
      <w:pPr>
        <w:pStyle w:val="ListParagraph"/>
        <w:numPr>
          <w:ilvl w:val="1"/>
          <w:numId w:val="2"/>
        </w:numPr>
        <w:ind w:left="567" w:hanging="567"/>
        <w:jc w:val="both"/>
        <w:rPr>
          <w:rFonts w:eastAsia="Times New Roman" w:cs="Arial"/>
          <w:lang w:eastAsia="it-IT"/>
        </w:rPr>
      </w:pPr>
      <w:r>
        <w:rPr>
          <w:rFonts w:eastAsia="Times New Roman" w:cs="Arial"/>
          <w:lang w:eastAsia="it-IT"/>
        </w:rPr>
        <w:t>ogni altro delitto da cui derivi, quale pena accessoria, l'incapacità di contrattare con la pubblica amministrazione.</w:t>
      </w:r>
    </w:p>
    <w:p>
      <w:pPr>
        <w:pStyle w:val="Normal"/>
        <w:jc w:val="both"/>
        <w:rPr>
          <w:rFonts w:eastAsia="Times New Roman" w:cs="Arial"/>
          <w:lang w:eastAsia="it-IT"/>
        </w:rPr>
      </w:pPr>
      <w:r>
        <w:rPr>
          <w:rFonts w:eastAsia="Times New Roman" w:cs="Arial"/>
          <w:b/>
          <w:u w:val="single"/>
          <w:lang w:eastAsia="it-IT"/>
        </w:rPr>
        <w:t xml:space="preserve">2.2 </w:t>
      </w:r>
      <w:r>
        <w:rPr>
          <w:rFonts w:cs="Arial"/>
        </w:rPr>
        <w:t>che nei propri confronti e nei confronti dei soggetti sopra indicati (art</w:t>
      </w:r>
      <w:r>
        <w:rPr>
          <w:rFonts w:cs="Arial"/>
          <w:b/>
        </w:rPr>
        <w:t>. 94, comma 3</w:t>
      </w:r>
      <w:r>
        <w:rPr>
          <w:rFonts w:cs="Arial"/>
        </w:rPr>
        <w:t xml:space="preserve">, del D.Lgs. 36/2023) non </w:t>
      </w:r>
      <w:r>
        <w:rPr>
          <w:rFonts w:cs="Calibri"/>
        </w:rPr>
        <w:t xml:space="preserve">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w:t>
      </w:r>
      <w:r>
        <w:rPr>
          <w:rFonts w:eastAsia="Times New Roman" w:cs="Arial"/>
          <w:lang w:eastAsia="it-IT"/>
        </w:rPr>
        <w:t>(*</w:t>
      </w:r>
      <w:r>
        <w:rPr>
          <w:rFonts w:eastAsia="Times New Roman" w:cs="Arial"/>
          <w:i/>
          <w:sz w:val="20"/>
          <w:szCs w:val="20"/>
          <w:lang w:eastAsia="it-IT"/>
        </w:rPr>
        <w:t>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r>
        <w:rPr>
          <w:rFonts w:eastAsia="Times New Roman" w:cs="Arial"/>
          <w:lang w:eastAsia="it-IT"/>
        </w:rPr>
        <w:t>);</w:t>
      </w:r>
    </w:p>
    <w:p>
      <w:pPr>
        <w:pStyle w:val="Normal"/>
        <w:jc w:val="both"/>
        <w:rPr>
          <w:rFonts w:eastAsia="Times New Roman" w:cs="Arial"/>
          <w:lang w:eastAsia="it-IT"/>
        </w:rPr>
      </w:pPr>
      <w:r>
        <w:rPr>
          <w:rFonts w:eastAsia="Times New Roman" w:cs="Arial"/>
          <w:b/>
          <w:u w:val="single"/>
          <w:lang w:eastAsia="it-IT"/>
        </w:rPr>
        <w:t>2.3:</w:t>
      </w:r>
      <w:r>
        <w:rPr>
          <w:rFonts w:eastAsia="Times New Roman" w:cs="Arial"/>
          <w:lang w:eastAsia="it-IT"/>
        </w:rPr>
        <w:t xml:space="preserve"> di non versare in alcuna delle cause di esclusione previste dall’art. </w:t>
      </w:r>
      <w:r>
        <w:rPr>
          <w:rFonts w:eastAsia="Times New Roman" w:cs="Arial"/>
          <w:b/>
          <w:lang w:eastAsia="it-IT"/>
        </w:rPr>
        <w:t>94 comma 5</w:t>
      </w:r>
      <w:r>
        <w:rPr>
          <w:rFonts w:eastAsia="Times New Roman" w:cs="Arial"/>
          <w:lang w:eastAsia="it-IT"/>
        </w:rPr>
        <w:t>. Nello specifico, dichiara che l’operatore economico (</w:t>
      </w:r>
      <w:r>
        <w:rPr>
          <w:rFonts w:eastAsia="Times New Roman" w:cs="Arial"/>
          <w:b/>
          <w:i/>
          <w:lang w:eastAsia="it-IT"/>
        </w:rPr>
        <w:t>solo</w:t>
      </w:r>
      <w:r>
        <w:rPr>
          <w:rFonts w:eastAsia="Times New Roman" w:cs="Arial"/>
          <w:lang w:eastAsia="it-IT"/>
        </w:rPr>
        <w:t xml:space="preserve"> </w:t>
      </w:r>
      <w:r>
        <w:rPr>
          <w:rFonts w:eastAsia="Times New Roman" w:cs="Arial"/>
          <w:b/>
          <w:i/>
          <w:lang w:eastAsia="it-IT"/>
        </w:rPr>
        <w:t>per le dichiarazioni alternative, barrare la dichiarazione di interesse</w:t>
      </w:r>
      <w:r>
        <w:rPr>
          <w:rFonts w:eastAsia="Times New Roman" w:cs="Arial"/>
          <w:lang w:eastAsia="it-IT"/>
        </w:rPr>
        <w:t>):</w:t>
      </w:r>
    </w:p>
    <w:p>
      <w:pPr>
        <w:pStyle w:val="Normal"/>
        <w:ind w:left="567" w:hanging="567"/>
        <w:jc w:val="both"/>
        <w:rPr>
          <w:rFonts w:eastAsia="Times New Roman" w:cs="Arial"/>
          <w:lang w:eastAsia="it-IT"/>
        </w:rPr>
      </w:pPr>
      <w:r>
        <w:rPr>
          <w:rFonts w:eastAsia="Times New Roman" w:cs="Arial"/>
          <w:lang w:eastAsia="it-IT"/>
        </w:rPr>
        <w:t>a) non è destinatario della sanzione interdittiva di cui all'articolo 9, comma 2, lettera c), del decreto legislativo 8 giugno2001, n. 231, o di altra sanzione che comporta il divieto di contrarre con la pubblica amministrazione, compresi i provvedimenti interdittivi di cui all'articolo 14 del decreto legislativo 9 aprile 2008, n. 81;</w:t>
      </w:r>
    </w:p>
    <w:p>
      <w:pPr>
        <w:pStyle w:val="Normal"/>
        <w:ind w:left="567" w:hanging="567"/>
        <w:jc w:val="center"/>
        <w:rPr>
          <w:rFonts w:eastAsia="Times New Roman" w:cs="Arial"/>
          <w:lang w:eastAsia="it-IT"/>
        </w:rPr>
      </w:pPr>
      <w:r>
        <w:rPr>
          <w:rFonts w:eastAsia="Times New Roman" w:cs="Arial"/>
          <w:b/>
          <w:i/>
          <w:lang w:eastAsia="it-IT"/>
        </w:rPr>
        <w:t>(barrare la dichiarazione di interesse)</w:t>
      </w:r>
    </w:p>
    <w:p>
      <w:pPr>
        <w:pStyle w:val="ListParagraph"/>
        <w:numPr>
          <w:ilvl w:val="0"/>
          <w:numId w:val="8"/>
        </w:numPr>
        <w:jc w:val="both"/>
        <w:rPr>
          <w:rFonts w:eastAsia="Times New Roman" w:cs="Arial"/>
          <w:lang w:eastAsia="it-IT"/>
        </w:rPr>
      </w:pPr>
      <w:r>
        <w:rPr>
          <w:rFonts w:eastAsia="Times New Roman" w:cs="Arial"/>
          <w:lang w:eastAsia="it-IT"/>
        </w:rPr>
        <w:t>b1) ha presentato la certificazione di cui all'articolo 17 della legge 12 marzo 1999, n. 68, ovvero abbia presentato dichiarazione sostitutiva della sussistenza del medesimo requisito e, quindi, dichiara di essere in regola con tali obblighi</w:t>
      </w:r>
    </w:p>
    <w:p>
      <w:pPr>
        <w:pStyle w:val="NormalWeb"/>
        <w:spacing w:before="280" w:after="280"/>
        <w:rPr>
          <w:rFonts w:ascii="Calibri" w:hAnsi="Calibri" w:cs="Arial" w:asciiTheme="minorHAnsi" w:hAnsiTheme="minorHAnsi"/>
          <w:b/>
          <w:b/>
          <w:bCs/>
          <w:iCs/>
          <w:sz w:val="22"/>
          <w:szCs w:val="22"/>
        </w:rPr>
      </w:pPr>
      <w:r>
        <w:rPr>
          <w:rFonts w:cs="Arial" w:ascii="Calibri" w:hAnsi="Calibri" w:asciiTheme="minorHAnsi" w:hAnsiTheme="minorHAnsi"/>
          <w:b/>
          <w:bCs/>
          <w:iCs/>
          <w:sz w:val="22"/>
          <w:szCs w:val="22"/>
        </w:rPr>
        <w:t xml:space="preserve">OPPURE </w:t>
      </w:r>
    </w:p>
    <w:p>
      <w:pPr>
        <w:pStyle w:val="NormalWeb"/>
        <w:numPr>
          <w:ilvl w:val="0"/>
          <w:numId w:val="8"/>
        </w:numPr>
        <w:spacing w:lineRule="auto" w:line="276" w:before="280" w:after="280"/>
        <w:jc w:val="both"/>
        <w:rPr>
          <w:rFonts w:ascii="Calibri" w:hAnsi="Calibri" w:cs="Arial" w:asciiTheme="minorHAnsi" w:hAnsiTheme="minorHAnsi"/>
          <w:bCs/>
          <w:iCs/>
          <w:sz w:val="22"/>
          <w:szCs w:val="22"/>
        </w:rPr>
      </w:pPr>
      <w:r>
        <w:rPr>
          <w:rFonts w:cs="Arial" w:ascii="Calibri" w:hAnsi="Calibri" w:asciiTheme="minorHAnsi" w:hAnsiTheme="minorHAnsi"/>
          <w:bCs/>
          <w:iCs/>
          <w:sz w:val="22"/>
          <w:szCs w:val="22"/>
        </w:rPr>
        <w:t xml:space="preserve">b2) di non essere tenuto al rispetto delle norme che disciplinano il diritto al lavoro dei disabili, ai sensi della Legge 68/1999 (art. 94, c. 5, lett. d), del D.lgs. n. 36/2023) in quanto </w:t>
      </w:r>
    </w:p>
    <w:p>
      <w:pPr>
        <w:pStyle w:val="NormalWeb"/>
        <w:spacing w:lineRule="auto" w:line="276" w:before="280" w:after="280"/>
        <w:ind w:left="567" w:hanging="0"/>
        <w:jc w:val="both"/>
        <w:rPr>
          <w:rFonts w:ascii="Calibri" w:hAnsi="Calibri" w:cs="Arial" w:asciiTheme="minorHAnsi" w:hAnsiTheme="minorHAnsi"/>
          <w:bCs/>
          <w:iCs/>
          <w:sz w:val="22"/>
          <w:szCs w:val="22"/>
        </w:rPr>
      </w:pPr>
      <w:r>
        <w:rPr>
          <w:rFonts w:cs="Arial" w:ascii="Calibri" w:hAnsi="Calibri" w:asciiTheme="minorHAnsi" w:hAnsiTheme="minorHAnsi"/>
          <w:bCs/>
          <w:iCs/>
          <w:sz w:val="22"/>
          <w:szCs w:val="22"/>
        </w:rPr>
        <w:t>_________________________________________________________________________________</w:t>
      </w:r>
    </w:p>
    <w:p>
      <w:pPr>
        <w:pStyle w:val="NormalWeb"/>
        <w:spacing w:lineRule="auto" w:line="276" w:before="280" w:after="280"/>
        <w:ind w:left="567" w:hanging="0"/>
        <w:jc w:val="both"/>
        <w:rPr>
          <w:rFonts w:ascii="Calibri" w:hAnsi="Calibri" w:cs="Arial" w:asciiTheme="minorHAnsi" w:hAnsiTheme="minorHAnsi"/>
          <w:bCs/>
          <w:iCs/>
          <w:sz w:val="22"/>
          <w:szCs w:val="22"/>
        </w:rPr>
      </w:pPr>
      <w:r>
        <w:rPr>
          <w:rFonts w:cs="Arial" w:ascii="Calibri" w:hAnsi="Calibri" w:asciiTheme="minorHAnsi" w:hAnsiTheme="minorHAnsi"/>
          <w:bCs/>
          <w:iCs/>
          <w:sz w:val="22"/>
          <w:szCs w:val="22"/>
        </w:rPr>
        <w:t>_________________________________________________________________________________</w:t>
      </w:r>
    </w:p>
    <w:p>
      <w:pPr>
        <w:pStyle w:val="Normal"/>
        <w:ind w:left="567" w:hanging="567"/>
        <w:jc w:val="center"/>
        <w:rPr>
          <w:rFonts w:eastAsia="Times New Roman" w:cs="Arial"/>
          <w:lang w:eastAsia="it-IT"/>
        </w:rPr>
      </w:pPr>
      <w:r>
        <w:rPr>
          <w:rFonts w:eastAsia="Times New Roman" w:cs="Arial"/>
          <w:b/>
          <w:i/>
          <w:lang w:eastAsia="it-IT"/>
        </w:rPr>
        <w:t>(barrare la dichiarazione di interesse)</w:t>
      </w:r>
    </w:p>
    <w:p>
      <w:pPr>
        <w:pStyle w:val="ListParagraph"/>
        <w:numPr>
          <w:ilvl w:val="0"/>
          <w:numId w:val="8"/>
        </w:numPr>
        <w:jc w:val="both"/>
        <w:rPr>
          <w:rFonts w:eastAsia="Times New Roman" w:cs="Arial"/>
          <w:lang w:eastAsia="it-IT"/>
        </w:rPr>
      </w:pPr>
      <w:r>
        <w:rPr>
          <w:rFonts w:eastAsia="Times New Roman" w:cs="Arial"/>
          <w:lang w:eastAsia="it-IT"/>
        </w:rPr>
        <w:t xml:space="preserve">c1) in relazione alle procedure afferenti agli investimenti pubblici finanziati, in tutto o in parte, con le risorse previste dal regolamento (UE) n.240/2021 del Parlamento europeo e del Consiglio, del 10 febbraio2021 e dal regolamento (UE) n. 241/2021 del Parlamento europeo e del Consiglio, del 12 febbraio 2021, l’operatore economico tenuto alla redazione del rapporto sulla situazione del personale, ai sensi dell’articolo 46 del codice delle pari opportunità tra uomo e donna, </w:t>
      </w:r>
      <w:r>
        <w:rPr>
          <w:rFonts w:eastAsia="Times New Roman" w:cs="Arial"/>
          <w:lang w:eastAsia="it-IT"/>
        </w:rPr>
        <w:t>di cui</w:t>
      </w:r>
      <w:r>
        <w:rPr>
          <w:rFonts w:eastAsia="Times New Roman" w:cs="Arial"/>
          <w:lang w:eastAsia="it-IT"/>
        </w:rPr>
        <w:t xml:space="preserve">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pPr>
        <w:pStyle w:val="Normal"/>
        <w:ind w:left="567" w:hanging="0"/>
        <w:jc w:val="both"/>
        <w:rPr>
          <w:rFonts w:eastAsia="Times New Roman" w:cs="Arial"/>
          <w:b/>
          <w:b/>
          <w:lang w:eastAsia="it-IT"/>
        </w:rPr>
      </w:pPr>
      <w:r>
        <w:rPr>
          <w:rFonts w:eastAsia="Times New Roman" w:cs="Arial"/>
          <w:b/>
          <w:lang w:eastAsia="it-IT"/>
        </w:rPr>
        <w:t>OPPURE</w:t>
      </w:r>
    </w:p>
    <w:p>
      <w:pPr>
        <w:pStyle w:val="Standard"/>
        <w:numPr>
          <w:ilvl w:val="0"/>
          <w:numId w:val="8"/>
        </w:numPr>
        <w:spacing w:lineRule="auto" w:line="276"/>
        <w:ind w:left="720" w:right="57" w:hanging="360"/>
        <w:jc w:val="both"/>
        <w:rPr>
          <w:rFonts w:ascii="Calibri" w:hAnsi="Calibri" w:asciiTheme="minorHAnsi" w:hAnsiTheme="minorHAnsi"/>
          <w:sz w:val="22"/>
          <w:szCs w:val="22"/>
        </w:rPr>
      </w:pPr>
      <w:r>
        <w:rPr>
          <w:rFonts w:cs="Arial" w:ascii="Calibri" w:hAnsi="Calibri" w:asciiTheme="minorHAnsi" w:hAnsiTheme="minorHAnsi"/>
          <w:sz w:val="22"/>
          <w:szCs w:val="22"/>
        </w:rPr>
        <w:t xml:space="preserve">c2) di non rientrare in tale fattispecie in quanto trattasi </w:t>
      </w:r>
      <w:r>
        <w:rPr>
          <w:rFonts w:cs="Calibri" w:ascii="Calibri" w:hAnsi="Calibri" w:asciiTheme="minorHAnsi" w:hAnsiTheme="minorHAnsi"/>
          <w:bCs/>
          <w:color w:val="000000"/>
          <w:sz w:val="22"/>
          <w:szCs w:val="22"/>
        </w:rPr>
        <w:t>di procedura non afferente agli investimenti pubblici finanziati, in tutto o in parte, con le risorse previste dal regolamento (UE) n. 240/2021 del Parlamento europeo e del Consiglio, del 10 febbraio 2021 e dal regolamento (UE) n. 241/2021 del Parlamento europeo e del Consiglio, del 12 febbraio 2021;</w:t>
      </w:r>
    </w:p>
    <w:p>
      <w:pPr>
        <w:pStyle w:val="Normal"/>
        <w:ind w:left="567" w:hanging="567"/>
        <w:jc w:val="both"/>
        <w:rPr>
          <w:rFonts w:eastAsia="Times New Roman" w:cs="Arial"/>
          <w:lang w:eastAsia="it-IT"/>
        </w:rPr>
      </w:pPr>
      <w:r>
        <w:rPr>
          <w:rFonts w:eastAsia="Times New Roman" w:cs="Arial"/>
          <w:lang w:eastAsia="it-IT"/>
        </w:rPr>
      </w:r>
    </w:p>
    <w:p>
      <w:pPr>
        <w:pStyle w:val="Normal"/>
        <w:ind w:left="567" w:hanging="567"/>
        <w:jc w:val="both"/>
        <w:rPr>
          <w:rFonts w:eastAsia="Times New Roman" w:cs="Arial"/>
          <w:i/>
          <w:i/>
          <w:lang w:eastAsia="it-IT"/>
        </w:rPr>
      </w:pPr>
      <w:r>
        <w:rPr>
          <w:rFonts w:eastAsia="Times New Roman" w:cs="Arial"/>
          <w:lang w:eastAsia="it-IT"/>
        </w:rPr>
        <w:t>d) non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12gennaio 2019, n. 14, dall’articolo 186-bis, comma 5, del regio decreto16 marzo 1942, n. 267 e dall'articolo 124 del presente codice (</w:t>
      </w:r>
      <w:r>
        <w:rPr>
          <w:rFonts w:eastAsia="Times New Roman" w:cs="Arial"/>
          <w:i/>
          <w:lang w:eastAsia="it-IT"/>
        </w:rPr>
        <w:t>*</w:t>
      </w:r>
      <w:r>
        <w:rPr>
          <w:rFonts w:eastAsia="Times New Roman" w:cs="Arial"/>
          <w:i/>
          <w:sz w:val="20"/>
          <w:szCs w:val="20"/>
          <w:lang w:eastAsia="it-IT"/>
        </w:rPr>
        <w:t>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r>
        <w:rPr>
          <w:rFonts w:eastAsia="Times New Roman" w:cs="Arial"/>
          <w:i/>
          <w:lang w:eastAsia="it-IT"/>
        </w:rPr>
        <w:t>);</w:t>
      </w:r>
    </w:p>
    <w:p>
      <w:pPr>
        <w:pStyle w:val="Normal"/>
        <w:ind w:left="567" w:hanging="567"/>
        <w:jc w:val="both"/>
        <w:rPr>
          <w:rFonts w:eastAsia="Times New Roman" w:cs="Arial"/>
          <w:i/>
          <w:i/>
          <w:lang w:eastAsia="it-IT"/>
        </w:rPr>
      </w:pPr>
      <w:r>
        <w:rPr>
          <w:rFonts w:eastAsia="Times New Roman" w:cs="Arial"/>
          <w:lang w:eastAsia="it-IT"/>
        </w:rPr>
        <w:t>e) non è iscritto nel casellario informatico tenuto dall'ANAC per aver presentato false dichiarazioni o falsa documentazione nelle procedure di gara e negli affidamenti di subappalti; la causa di esclusione perdura fino a quando opera l'iscrizione nel casellario informatico;</w:t>
      </w:r>
    </w:p>
    <w:p>
      <w:pPr>
        <w:pStyle w:val="Normal"/>
        <w:ind w:left="567" w:hanging="567"/>
        <w:jc w:val="both"/>
        <w:rPr>
          <w:rFonts w:eastAsia="Times New Roman" w:cs="Arial"/>
          <w:lang w:eastAsia="it-IT"/>
        </w:rPr>
      </w:pPr>
      <w:r>
        <w:rPr>
          <w:rFonts w:eastAsia="Times New Roman" w:cs="Arial"/>
          <w:lang w:eastAsia="it-IT"/>
        </w:rPr>
        <w:t>f) non è iscritto nel casellario informatico tenuto dall'ANAC per aver presentato false dichiarazioni o falsa documentazione ai fini del rilascio dell'attestazione di qualificazione, per il periodo durante il quale perdura l'iscrizione;</w:t>
      </w:r>
    </w:p>
    <w:p>
      <w:pPr>
        <w:pStyle w:val="Normal"/>
        <w:spacing w:lineRule="auto" w:line="240" w:before="0" w:after="0"/>
        <w:ind w:left="567" w:hanging="567"/>
        <w:jc w:val="center"/>
        <w:rPr>
          <w:rFonts w:eastAsia="Times New Roman" w:cs="Arial"/>
          <w:lang w:eastAsia="it-IT"/>
        </w:rPr>
      </w:pPr>
      <w:r>
        <w:rPr>
          <w:rFonts w:eastAsia="Times New Roman" w:cs="Arial"/>
          <w:b/>
          <w:i/>
          <w:lang w:eastAsia="it-IT"/>
        </w:rPr>
        <w:t>(barrare la dichiarazione di interesse)</w:t>
      </w:r>
    </w:p>
    <w:p>
      <w:pPr>
        <w:pStyle w:val="ListParagraph"/>
        <w:numPr>
          <w:ilvl w:val="0"/>
          <w:numId w:val="2"/>
        </w:numPr>
        <w:spacing w:lineRule="auto" w:line="240" w:before="0" w:after="0"/>
        <w:ind w:left="567" w:hanging="567"/>
        <w:contextualSpacing/>
        <w:jc w:val="both"/>
        <w:rPr>
          <w:rFonts w:eastAsia="Times New Roman" w:cs="Arial"/>
          <w:b/>
          <w:b/>
          <w:u w:val="single"/>
          <w:lang w:eastAsia="it-IT"/>
        </w:rPr>
      </w:pPr>
      <w:r>
        <w:rPr>
          <w:rFonts w:eastAsia="Times New Roman" w:cs="Arial"/>
          <w:b/>
          <w:u w:val="single"/>
          <w:lang w:eastAsia="it-IT"/>
        </w:rPr>
        <w:t xml:space="preserve">2.4 (a) </w:t>
      </w:r>
      <w:r>
        <w:rPr>
          <w:rFonts w:cs="Arial"/>
        </w:rPr>
        <w:t xml:space="preserve">di non aver commesso violazioni gravi, </w:t>
      </w:r>
      <w:r>
        <w:rPr>
          <w:rFonts w:cs="Arial"/>
          <w:b/>
          <w:u w:val="single"/>
        </w:rPr>
        <w:t>DEFINITIVAMENTE accertate</w:t>
      </w:r>
      <w:r>
        <w:rPr>
          <w:rFonts w:cs="Arial"/>
        </w:rPr>
        <w:t>, rispetto agli obblighi relativi al pagamento delle imposte e tasse o dei contributi previdenziali, secondo la legislazione italiana o quella dello Stato in cui è stabilita (costituiscono gravi violazioni definitivamente accertate quelle indicate nell’ Allegato II.10 al D.Lgs. 36/2023)</w:t>
      </w:r>
    </w:p>
    <w:p>
      <w:pPr>
        <w:pStyle w:val="ListParagraph"/>
        <w:ind w:left="360" w:hanging="0"/>
        <w:jc w:val="both"/>
        <w:rPr>
          <w:rFonts w:eastAsia="Times New Roman" w:cs="Arial"/>
          <w:b/>
          <w:b/>
          <w:lang w:eastAsia="it-IT"/>
        </w:rPr>
      </w:pPr>
      <w:r>
        <w:rPr>
          <w:rFonts w:eastAsia="Times New Roman" w:cs="Arial"/>
          <w:b/>
          <w:lang w:eastAsia="it-IT"/>
        </w:rPr>
      </w:r>
    </w:p>
    <w:p>
      <w:pPr>
        <w:pStyle w:val="ListParagraph"/>
        <w:ind w:left="567" w:hanging="0"/>
        <w:jc w:val="both"/>
        <w:rPr>
          <w:rFonts w:eastAsia="Times New Roman" w:cs="Arial"/>
          <w:b/>
          <w:b/>
          <w:lang w:eastAsia="it-IT"/>
        </w:rPr>
      </w:pPr>
      <w:r>
        <w:rPr>
          <w:rFonts w:eastAsia="Times New Roman" w:cs="Arial"/>
          <w:b/>
          <w:lang w:eastAsia="it-IT"/>
        </w:rPr>
        <w:t>OPPURE</w:t>
      </w:r>
    </w:p>
    <w:p>
      <w:pPr>
        <w:pStyle w:val="ListParagraph"/>
        <w:numPr>
          <w:ilvl w:val="0"/>
          <w:numId w:val="2"/>
        </w:numPr>
        <w:spacing w:lineRule="auto" w:line="240" w:before="0" w:after="0"/>
        <w:ind w:left="567" w:hanging="567"/>
        <w:contextualSpacing/>
        <w:jc w:val="both"/>
        <w:rPr>
          <w:rFonts w:eastAsia="Times New Roman" w:cs="Arial"/>
          <w:lang w:eastAsia="it-IT"/>
        </w:rPr>
      </w:pPr>
      <w:r>
        <w:rPr>
          <w:rFonts w:eastAsia="Times New Roman" w:cs="Arial"/>
          <w:b/>
          <w:lang w:eastAsia="it-IT"/>
        </w:rPr>
        <w:t>2.4 (b)</w:t>
      </w:r>
      <w:r>
        <w:rPr>
          <w:rFonts w:eastAsia="Times New Roman" w:cs="Arial"/>
          <w:lang w:eastAsia="it-IT"/>
        </w:rPr>
        <w:t xml:space="preserve"> di aver commesso le seguenti violazioni gravi, definitivamente accertate, rispetto agli obblighi relativi al pagamento delle imposte e tasse o i contributi previdenziali, secondo la legislazione italiana o quella dello Stato in cui è stabilita: (INDICARE VIOLAZIONI)</w:t>
      </w:r>
    </w:p>
    <w:p>
      <w:pPr>
        <w:pStyle w:val="ListParagraph"/>
        <w:spacing w:lineRule="auto" w:line="360"/>
        <w:ind w:left="567" w:hanging="0"/>
        <w:jc w:val="both"/>
        <w:rPr>
          <w:rFonts w:eastAsia="Times New Roman" w:cs="Arial"/>
          <w:lang w:eastAsia="it-IT"/>
        </w:rPr>
      </w:pPr>
      <w:r>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spacing w:lineRule="auto" w:line="360"/>
        <w:ind w:left="567" w:hanging="0"/>
        <w:jc w:val="both"/>
        <w:rPr>
          <w:rFonts w:eastAsia="Times New Roman" w:cs="Arial"/>
          <w:lang w:eastAsia="it-IT"/>
        </w:rPr>
      </w:pPr>
      <w:r>
        <w:rPr>
          <w:rFonts w:eastAsia="Times New Roman" w:cs="Arial"/>
          <w:lang w:eastAsia="it-IT"/>
        </w:rPr>
        <w:t>e che rispetto alle violazioni sopra indicate ha ottemperato ai propri obblighi pagando o impegnandosi in modo vincolante a pagare le imposte o i contributi previdenziali dovuti, compresi eventuali interessi o sanzioni, oppure quando il debito tributario o previdenziale sia comunque integralmente estinto, purchè l’estinzione, il pagamento o l’impegno si siano perfezionati anteriormente alla scadenza del termine di presentazione dell’offerta</w:t>
      </w:r>
    </w:p>
    <w:p>
      <w:pPr>
        <w:pStyle w:val="ListParagraph"/>
        <w:spacing w:lineRule="auto" w:line="360"/>
        <w:ind w:left="567" w:hanging="0"/>
        <w:jc w:val="both"/>
        <w:rPr>
          <w:rFonts w:eastAsia="Times New Roman" w:cs="Arial"/>
          <w:lang w:eastAsia="it-IT"/>
        </w:rPr>
      </w:pPr>
      <w:r>
        <w:rPr>
          <w:rFonts w:eastAsia="Times New Roman" w:cs="Arial"/>
          <w:lang w:eastAsia="it-IT"/>
        </w:rPr>
        <w:t>INDICARE E ALLEGARE EVENTUALE PIANO DI RIENTRO (DATA E DURAT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ind w:left="360" w:hanging="0"/>
        <w:jc w:val="both"/>
        <w:rPr>
          <w:rFonts w:eastAsia="Times New Roman" w:cs="Arial"/>
          <w:b/>
          <w:b/>
          <w:u w:val="single"/>
          <w:lang w:eastAsia="it-IT"/>
        </w:rPr>
      </w:pPr>
      <w:r>
        <w:rPr>
          <w:rFonts w:eastAsia="Times New Roman" w:cs="Arial"/>
          <w:b/>
          <w:u w:val="single"/>
          <w:lang w:eastAsia="it-IT"/>
        </w:rPr>
      </w:r>
    </w:p>
    <w:p>
      <w:pPr>
        <w:pStyle w:val="ListParagraph"/>
        <w:ind w:left="567" w:hanging="567"/>
        <w:jc w:val="both"/>
        <w:rPr>
          <w:rFonts w:cs="Calibri"/>
        </w:rPr>
      </w:pPr>
      <w:r>
        <w:rPr>
          <w:rFonts w:eastAsia="Times New Roman" w:cs="Arial"/>
          <w:b/>
          <w:u w:val="single"/>
          <w:lang w:eastAsia="it-IT"/>
        </w:rPr>
        <w:t xml:space="preserve">2.5 </w:t>
      </w:r>
      <w:r>
        <w:rPr>
          <w:rFonts w:eastAsia="Times New Roman" w:cs="Arial"/>
          <w:lang w:eastAsia="it-IT"/>
        </w:rPr>
        <w:t xml:space="preserve">di non versare in alcuna delle cause di esclusione previste dall’art. </w:t>
      </w:r>
      <w:r>
        <w:rPr>
          <w:rFonts w:eastAsia="Times New Roman" w:cs="Arial"/>
          <w:b/>
          <w:lang w:eastAsia="it-IT"/>
        </w:rPr>
        <w:t>95</w:t>
      </w:r>
      <w:r>
        <w:rPr>
          <w:rFonts w:eastAsia="Times New Roman" w:cs="Arial"/>
          <w:lang w:eastAsia="it-IT"/>
        </w:rPr>
        <w:t xml:space="preserve">, </w:t>
      </w:r>
      <w:r>
        <w:rPr>
          <w:rFonts w:eastAsia="Times New Roman" w:cs="Arial"/>
          <w:b/>
          <w:lang w:eastAsia="it-IT"/>
        </w:rPr>
        <w:t>comma 1</w:t>
      </w:r>
      <w:r>
        <w:rPr>
          <w:rFonts w:eastAsia="Times New Roman" w:cs="Arial"/>
          <w:lang w:eastAsia="it-IT"/>
        </w:rPr>
        <w:t xml:space="preserve">; nello specifico, </w:t>
      </w:r>
      <w:r>
        <w:rPr>
          <w:rFonts w:cs="Calibri"/>
        </w:rPr>
        <w:t>si dichiara:</w:t>
      </w:r>
    </w:p>
    <w:p>
      <w:pPr>
        <w:pStyle w:val="Standard"/>
        <w:widowControl/>
        <w:spacing w:lineRule="auto" w:line="276"/>
        <w:ind w:right="57" w:hanging="0"/>
        <w:jc w:val="both"/>
        <w:textAlignment w:val="baseline"/>
        <w:rPr>
          <w:rFonts w:ascii="Calibri" w:hAnsi="Calibri" w:asciiTheme="minorHAnsi" w:hAnsiTheme="minorHAnsi"/>
          <w:sz w:val="22"/>
          <w:szCs w:val="22"/>
        </w:rPr>
      </w:pPr>
      <w:r>
        <w:rPr>
          <w:rFonts w:cs="Calibri" w:ascii="Calibri" w:hAnsi="Calibri" w:asciiTheme="minorHAnsi" w:hAnsiTheme="minorHAnsi"/>
          <w:color w:val="000000"/>
          <w:sz w:val="22"/>
          <w:szCs w:val="22"/>
        </w:rPr>
        <w:t>a) che per l</w:t>
      </w:r>
      <w:r>
        <w:rPr>
          <w:rFonts w:cs="Calibri" w:ascii="Calibri" w:hAnsi="Calibri" w:asciiTheme="minorHAnsi" w:hAnsiTheme="minorHAnsi"/>
          <w:sz w:val="22"/>
          <w:szCs w:val="22"/>
        </w:rPr>
        <w:t>’operatore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Pr>
          <w:rFonts w:ascii="Calibri" w:hAnsi="Calibri" w:asciiTheme="minorHAnsi" w:hAnsiTheme="minorHAnsi"/>
          <w:color w:val="000000"/>
          <w:sz w:val="22"/>
          <w:szCs w:val="22"/>
        </w:rPr>
        <w:t xml:space="preserve"> (*</w:t>
      </w:r>
      <w:r>
        <w:rPr>
          <w:rFonts w:cs="Calibri" w:ascii="Calibri" w:hAnsi="Calibri" w:asciiTheme="minorHAnsi" w:hAnsiTheme="minorHAnsi"/>
          <w:i/>
          <w:color w:val="000000"/>
          <w:sz w:val="22"/>
          <w:szCs w:val="22"/>
        </w:rPr>
        <w:t>ai sensi dell</w:t>
      </w:r>
      <w:r>
        <w:rPr>
          <w:rFonts w:cs="Calibri" w:ascii="Calibri" w:hAnsi="Calibri" w:asciiTheme="minorHAnsi" w:hAnsiTheme="minorHAnsi"/>
          <w:i/>
          <w:sz w:val="22"/>
          <w:szCs w:val="22"/>
        </w:rPr>
        <w:t>’articolo 96, comma 10, la causa di esclusione rileva per tre anni decorrenti dalla commissione del fatto</w:t>
      </w:r>
      <w:r>
        <w:rPr>
          <w:rFonts w:ascii="Calibri" w:hAnsi="Calibri" w:asciiTheme="minorHAnsi" w:hAnsiTheme="minorHAnsi"/>
          <w:color w:val="000000"/>
          <w:sz w:val="22"/>
          <w:szCs w:val="22"/>
        </w:rPr>
        <w:t>);</w:t>
      </w:r>
    </w:p>
    <w:p>
      <w:pPr>
        <w:pStyle w:val="Standard"/>
        <w:widowControl/>
        <w:spacing w:lineRule="auto" w:line="276"/>
        <w:ind w:right="57" w:hanging="0"/>
        <w:jc w:val="both"/>
        <w:textAlignment w:val="baseline"/>
        <w:rPr>
          <w:rFonts w:ascii="Calibri" w:hAnsi="Calibri" w:asciiTheme="minorHAnsi" w:hAnsiTheme="minorHAnsi"/>
          <w:sz w:val="22"/>
          <w:szCs w:val="22"/>
        </w:rPr>
      </w:pPr>
      <w:r>
        <w:rPr>
          <w:rFonts w:cs="Calibri" w:ascii="Calibri" w:hAnsi="Calibri" w:asciiTheme="minorHAnsi" w:hAnsiTheme="minorHAnsi"/>
          <w:color w:val="000000"/>
          <w:sz w:val="22"/>
          <w:szCs w:val="22"/>
        </w:rPr>
        <w:t>b) che la partecipazione dell'operatore economico non determina una situazione di conflitto di interesse di cui all</w:t>
      </w:r>
      <w:r>
        <w:rPr>
          <w:rFonts w:cs="Calibri" w:ascii="Calibri" w:hAnsi="Calibri" w:asciiTheme="minorHAnsi" w:hAnsiTheme="minorHAnsi"/>
          <w:sz w:val="22"/>
          <w:szCs w:val="22"/>
        </w:rPr>
        <w:t>’articolo 16 del D. Lgs 36/2023 non diversamente risolvibile (*</w:t>
      </w:r>
      <w:r>
        <w:rPr>
          <w:rFonts w:cs="Calibri" w:ascii="Calibri" w:hAnsi="Calibri" w:asciiTheme="minorHAnsi" w:hAnsiTheme="minorHAnsi"/>
          <w:i/>
        </w:rPr>
        <w:t>Ai sensi dell’articolo 96 comma 10 la causa di esclusione rileva per la sola gara cui la condotta si riferisce</w:t>
      </w:r>
      <w:r>
        <w:rPr>
          <w:rFonts w:cs="Calibri" w:ascii="Calibri" w:hAnsi="Calibri" w:asciiTheme="minorHAnsi" w:hAnsiTheme="minorHAnsi"/>
          <w:sz w:val="22"/>
          <w:szCs w:val="22"/>
        </w:rPr>
        <w:t>);</w:t>
      </w:r>
    </w:p>
    <w:p>
      <w:pPr>
        <w:pStyle w:val="Standard"/>
        <w:widowControl/>
        <w:spacing w:lineRule="auto" w:line="276"/>
        <w:ind w:right="57" w:hanging="0"/>
        <w:jc w:val="both"/>
        <w:textAlignment w:val="baseline"/>
        <w:rPr>
          <w:rFonts w:ascii="Calibri" w:hAnsi="Calibri" w:asciiTheme="minorHAnsi" w:hAnsiTheme="minorHAnsi"/>
          <w:sz w:val="22"/>
          <w:szCs w:val="22"/>
        </w:rPr>
      </w:pPr>
      <w:r>
        <w:rPr>
          <w:rFonts w:cs="Calibri" w:ascii="Calibri" w:hAnsi="Calibri" w:asciiTheme="minorHAnsi" w:hAnsiTheme="minorHAnsi"/>
          <w:color w:val="000000"/>
          <w:sz w:val="22"/>
          <w:szCs w:val="22"/>
        </w:rPr>
        <w:t>c) che non sussiste una distorsione della concorrenza derivante dal precedente coinvolgimento degli operatori economici nella preparazione della procedura d'appalto che non possa essere risolta con misure meno intrusive rispetto all</w:t>
      </w:r>
      <w:r>
        <w:rPr>
          <w:rFonts w:cs="Calibri" w:ascii="Calibri" w:hAnsi="Calibri" w:asciiTheme="minorHAnsi" w:hAnsiTheme="minorHAnsi"/>
          <w:sz w:val="22"/>
          <w:szCs w:val="22"/>
        </w:rPr>
        <w:t>’esclusione dalla gara</w:t>
      </w:r>
      <w:r>
        <w:rPr>
          <w:rFonts w:ascii="Calibri" w:hAnsi="Calibri" w:asciiTheme="minorHAnsi" w:hAnsiTheme="minorHAnsi"/>
          <w:color w:val="000000"/>
          <w:sz w:val="22"/>
          <w:szCs w:val="22"/>
        </w:rPr>
        <w:t xml:space="preserve"> (*</w:t>
      </w:r>
      <w:r>
        <w:rPr>
          <w:rFonts w:cs="Calibri" w:ascii="Calibri" w:hAnsi="Calibri" w:asciiTheme="minorHAnsi" w:hAnsiTheme="minorHAnsi"/>
          <w:i/>
          <w:color w:val="000000"/>
        </w:rPr>
        <w:t>Ai sensi dell</w:t>
      </w:r>
      <w:r>
        <w:rPr>
          <w:rFonts w:cs="Calibri" w:ascii="Calibri" w:hAnsi="Calibri" w:asciiTheme="minorHAnsi" w:hAnsiTheme="minorHAnsi"/>
          <w:i/>
        </w:rPr>
        <w:t>’articolo 96 comma 10 la causa di esclusione rileva per la sola gara cui la condotta si riferisce</w:t>
      </w:r>
      <w:r>
        <w:rPr>
          <w:rFonts w:ascii="Calibri" w:hAnsi="Calibri" w:asciiTheme="minorHAnsi" w:hAnsiTheme="minorHAnsi"/>
          <w:color w:val="000000"/>
          <w:sz w:val="22"/>
          <w:szCs w:val="22"/>
        </w:rPr>
        <w:t>);</w:t>
      </w:r>
    </w:p>
    <w:p>
      <w:pPr>
        <w:pStyle w:val="Standard"/>
        <w:widowControl/>
        <w:spacing w:lineRule="auto" w:line="276"/>
        <w:ind w:right="57" w:hanging="0"/>
        <w:jc w:val="both"/>
        <w:textAlignment w:val="baseline"/>
        <w:rPr>
          <w:rFonts w:ascii="Calibri" w:hAnsi="Calibri" w:asciiTheme="minorHAnsi" w:hAnsiTheme="minorHAnsi"/>
          <w:sz w:val="22"/>
          <w:szCs w:val="22"/>
        </w:rPr>
      </w:pPr>
      <w:r>
        <w:rPr>
          <w:rFonts w:cs="Calibri" w:ascii="Calibri" w:hAnsi="Calibri" w:asciiTheme="minorHAnsi" w:hAnsiTheme="minorHAnsi"/>
          <w:color w:val="000000"/>
          <w:sz w:val="22"/>
          <w:szCs w:val="22"/>
        </w:rPr>
        <w:t xml:space="preserve">d) che l'operatore economico </w:t>
      </w:r>
      <w:r>
        <w:rPr>
          <w:rFonts w:cs="Calibri" w:ascii="Calibri" w:hAnsi="Calibri" w:asciiTheme="minorHAnsi" w:hAnsiTheme="minorHAnsi"/>
          <w:sz w:val="22"/>
          <w:szCs w:val="22"/>
        </w:rPr>
        <w:t>ha presentato la propria offerta autonomamente, senza che essa sia imputabile ad unico centro decisionale a cagione di accordi intercorsi con altri operatori economici partecipanti alla presente procedura</w:t>
      </w:r>
      <w:r>
        <w:rPr>
          <w:rFonts w:ascii="Calibri" w:hAnsi="Calibri" w:asciiTheme="minorHAnsi" w:hAnsiTheme="minorHAnsi"/>
          <w:color w:val="000000"/>
          <w:sz w:val="22"/>
          <w:szCs w:val="22"/>
        </w:rPr>
        <w:t>(</w:t>
      </w:r>
      <w:r>
        <w:rPr>
          <w:rFonts w:cs="Calibri" w:ascii="Calibri" w:hAnsi="Calibri" w:asciiTheme="minorHAnsi" w:hAnsiTheme="minorHAnsi"/>
          <w:i/>
          <w:color w:val="000000"/>
        </w:rPr>
        <w:t>Ai sensi dell</w:t>
      </w:r>
      <w:r>
        <w:rPr>
          <w:rFonts w:cs="Calibri" w:ascii="Calibri" w:hAnsi="Calibri" w:asciiTheme="minorHAnsi" w:hAnsiTheme="minorHAnsi"/>
          <w:i/>
        </w:rPr>
        <w:t>’articolo 96 comma 10 la causa di esclusione rileva per la sola gara cui la condotta si riferisce</w:t>
      </w:r>
      <w:r>
        <w:rPr>
          <w:rFonts w:ascii="Calibri" w:hAnsi="Calibri" w:asciiTheme="minorHAnsi" w:hAnsiTheme="minorHAnsi"/>
          <w:color w:val="000000"/>
          <w:sz w:val="22"/>
          <w:szCs w:val="22"/>
        </w:rPr>
        <w:t>);</w:t>
      </w:r>
    </w:p>
    <w:p>
      <w:pPr>
        <w:pStyle w:val="Standard"/>
        <w:spacing w:lineRule="auto" w:line="276"/>
        <w:jc w:val="both"/>
        <w:rPr>
          <w:rFonts w:ascii="Calibri" w:hAnsi="Calibri" w:asciiTheme="minorHAnsi" w:hAnsiTheme="minorHAnsi"/>
          <w:i/>
          <w:i/>
          <w:sz w:val="22"/>
          <w:szCs w:val="22"/>
        </w:rPr>
      </w:pPr>
      <w:r>
        <w:rPr>
          <w:rFonts w:cs="Calibri" w:ascii="Calibri" w:hAnsi="Calibri" w:asciiTheme="minorHAnsi" w:hAnsiTheme="minorHAnsi"/>
          <w:color w:val="000000"/>
          <w:sz w:val="22"/>
          <w:szCs w:val="22"/>
        </w:rPr>
        <w:t>e) di non aver commesso un illecito professionale grave di cui all</w:t>
      </w:r>
      <w:r>
        <w:rPr>
          <w:rFonts w:cs="Calibri" w:ascii="Calibri" w:hAnsi="Calibri" w:asciiTheme="minorHAnsi" w:hAnsiTheme="minorHAnsi"/>
          <w:sz w:val="22"/>
          <w:szCs w:val="22"/>
        </w:rPr>
        <w:t>’articolo 98 del D. Lgs 36/2023, tale da rendere dubbia la propria integrità o affidabilità e pertanto dichiara: (</w:t>
      </w:r>
      <w:r>
        <w:rPr>
          <w:rFonts w:cs="Calibri" w:ascii="Calibri" w:hAnsi="Calibri" w:asciiTheme="minorHAnsi" w:hAnsiTheme="minorHAnsi"/>
          <w:i/>
          <w:color w:val="000000"/>
        </w:rPr>
        <w:t>Ai sensi dell</w:t>
      </w:r>
      <w:r>
        <w:rPr>
          <w:rFonts w:cs="Calibri" w:ascii="Calibri" w:hAnsi="Calibri" w:asciiTheme="minorHAnsi" w:hAnsiTheme="minorHAnsi"/>
          <w:i/>
        </w:rPr>
        <w:t>’articolo 96 comma 10, per questa causa di esclusione prevista all’articolo 95 comma 1 lettera e) essa rileva, salvo che ricorra la condotta di cui al comma 3, lettera b), dell’articolo 98, per tre anni decorrenti rispettivamente:1)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98;2) dalla data del provvedimento sanzionatorio irrogato dall’Autorità garante della concorrenza e del mercato o da altra autorità di settore nel caso in cui la situazione escludente discenda da tale atto;3) dalla commissione del fatto in tutti gli altri casi</w:t>
      </w:r>
      <w:r>
        <w:rPr>
          <w:rFonts w:cs="Calibri" w:ascii="Calibri" w:hAnsi="Calibri" w:asciiTheme="minorHAnsi" w:hAnsiTheme="minorHAnsi"/>
          <w:bCs/>
          <w:i/>
          <w:sz w:val="22"/>
          <w:szCs w:val="22"/>
        </w:rPr>
        <w:t>):</w:t>
      </w:r>
    </w:p>
    <w:p>
      <w:pPr>
        <w:pStyle w:val="Standard"/>
        <w:numPr>
          <w:ilvl w:val="0"/>
          <w:numId w:val="9"/>
        </w:numPr>
        <w:spacing w:lineRule="auto" w:line="276"/>
        <w:ind w:left="720" w:right="57" w:hanging="360"/>
        <w:jc w:val="both"/>
        <w:rPr>
          <w:rFonts w:ascii="Calibri" w:hAnsi="Calibri" w:cs="Calibri" w:asciiTheme="minorHAnsi" w:hAnsiTheme="minorHAnsi"/>
          <w:sz w:val="22"/>
          <w:szCs w:val="22"/>
        </w:rPr>
      </w:pPr>
      <w:r>
        <w:rPr>
          <w:rFonts w:cs="Calibri" w:ascii="Calibri" w:hAnsi="Calibri" w:asciiTheme="minorHAnsi" w:hAnsiTheme="minorHAnsi"/>
          <w:b/>
          <w:bCs/>
          <w:sz w:val="22"/>
          <w:szCs w:val="22"/>
        </w:rPr>
        <w:t>Di non aver</w:t>
      </w:r>
      <w:r>
        <w:rPr>
          <w:rFonts w:cs="Calibri" w:ascii="Calibri" w:hAnsi="Calibri" w:asciiTheme="minorHAnsi" w:hAnsiTheme="minorHAnsi"/>
          <w:bCs/>
          <w:sz w:val="22"/>
          <w:szCs w:val="22"/>
        </w:rPr>
        <w:t xml:space="preserve"> ricevuto sanzione esecutiva irrogata dall’Autorità garante della concorrenza e del mercato o da altra autorità di settore, rilevante in relazione all’oggetto specifico dell’appalto</w:t>
      </w:r>
      <w:r>
        <w:rPr>
          <w:rFonts w:cs="Calibri" w:ascii="Calibri" w:hAnsi="Calibri" w:asciiTheme="minorHAnsi" w:hAnsiTheme="minorHAnsi"/>
          <w:sz w:val="22"/>
          <w:szCs w:val="22"/>
        </w:rPr>
        <w:t>;</w:t>
      </w:r>
    </w:p>
    <w:p>
      <w:pPr>
        <w:pStyle w:val="Standard"/>
        <w:spacing w:lineRule="auto" w:line="276"/>
        <w:ind w:left="567" w:right="57" w:hanging="774"/>
        <w:jc w:val="both"/>
        <w:rPr>
          <w:rFonts w:ascii="Calibri" w:hAnsi="Calibri" w:asciiTheme="minorHAnsi" w:hAnsiTheme="minorHAnsi"/>
          <w:sz w:val="22"/>
          <w:szCs w:val="22"/>
        </w:rPr>
      </w:pPr>
      <w:r>
        <w:rPr>
          <w:rFonts w:asciiTheme="minorHAnsi" w:hAnsiTheme="minorHAnsi" w:ascii="Calibri" w:hAnsi="Calibri"/>
          <w:sz w:val="22"/>
          <w:szCs w:val="22"/>
        </w:rPr>
      </w:r>
    </w:p>
    <w:p>
      <w:pPr>
        <w:pStyle w:val="Standard"/>
        <w:numPr>
          <w:ilvl w:val="0"/>
          <w:numId w:val="9"/>
        </w:numPr>
        <w:spacing w:lineRule="auto" w:line="276"/>
        <w:jc w:val="both"/>
        <w:rPr>
          <w:rFonts w:ascii="Calibri" w:hAnsi="Calibri" w:cs="Calibri" w:asciiTheme="minorHAnsi" w:hAnsiTheme="minorHAnsi"/>
          <w:b/>
          <w:b/>
          <w:sz w:val="22"/>
          <w:szCs w:val="22"/>
        </w:rPr>
      </w:pPr>
      <w:r>
        <w:rPr>
          <w:rFonts w:cs="Calibri" w:ascii="Calibri" w:hAnsi="Calibri" w:asciiTheme="minorHAnsi" w:hAnsiTheme="minorHAnsi"/>
          <w:b/>
          <w:bCs/>
          <w:sz w:val="22"/>
          <w:szCs w:val="22"/>
        </w:rPr>
        <w:t>Di non aver</w:t>
      </w:r>
      <w:r>
        <w:rPr>
          <w:rFonts w:cs="Calibri" w:ascii="Calibri" w:hAnsi="Calibri" w:asciiTheme="minorHAnsi" w:hAnsiTheme="minorHAnsi"/>
          <w:bCs/>
          <w:sz w:val="22"/>
          <w:szCs w:val="22"/>
        </w:rPr>
        <w:t xml:space="preserve">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Pr>
          <w:rFonts w:cs="Calibri" w:ascii="Calibri" w:hAnsi="Calibri" w:asciiTheme="minorHAnsi" w:hAnsiTheme="minorHAnsi"/>
          <w:b/>
          <w:sz w:val="22"/>
          <w:szCs w:val="22"/>
        </w:rPr>
        <w:t>;</w:t>
      </w:r>
    </w:p>
    <w:p>
      <w:pPr>
        <w:pStyle w:val="Standard"/>
        <w:spacing w:lineRule="auto" w:line="276"/>
        <w:ind w:left="567" w:hanging="774"/>
        <w:jc w:val="both"/>
        <w:rPr>
          <w:rFonts w:ascii="Calibri" w:hAnsi="Calibri" w:asciiTheme="minorHAnsi" w:hAnsiTheme="minorHAnsi"/>
          <w:sz w:val="22"/>
          <w:szCs w:val="22"/>
        </w:rPr>
      </w:pPr>
      <w:r>
        <w:rPr>
          <w:rFonts w:asciiTheme="minorHAnsi" w:hAnsiTheme="minorHAnsi" w:ascii="Calibri" w:hAnsi="Calibri"/>
          <w:sz w:val="22"/>
          <w:szCs w:val="22"/>
        </w:rPr>
      </w:r>
    </w:p>
    <w:p>
      <w:pPr>
        <w:pStyle w:val="Standard"/>
        <w:numPr>
          <w:ilvl w:val="0"/>
          <w:numId w:val="9"/>
        </w:numPr>
        <w:spacing w:lineRule="auto" w:line="276"/>
        <w:jc w:val="both"/>
        <w:rPr>
          <w:rFonts w:ascii="Calibri" w:hAnsi="Calibri" w:cs="Calibri" w:asciiTheme="minorHAnsi" w:hAnsiTheme="minorHAnsi"/>
          <w:bCs/>
          <w:sz w:val="22"/>
          <w:szCs w:val="22"/>
        </w:rPr>
      </w:pPr>
      <w:r>
        <w:rPr>
          <w:rFonts w:cs="Calibri" w:ascii="Calibri" w:hAnsi="Calibri" w:asciiTheme="minorHAnsi" w:hAnsiTheme="minorHAnsi"/>
          <w:b/>
          <w:bCs/>
          <w:sz w:val="22"/>
          <w:szCs w:val="22"/>
        </w:rPr>
        <w:t>Di non aver</w:t>
      </w:r>
      <w:r>
        <w:rPr>
          <w:rFonts w:cs="Calibri" w:ascii="Calibri" w:hAnsi="Calibri" w:asciiTheme="minorHAnsi" w:hAnsiTheme="minorHAnsi"/>
          <w:bCs/>
          <w:sz w:val="22"/>
          <w:szCs w:val="22"/>
        </w:rPr>
        <w:t xml:space="preserve">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pPr>
        <w:pStyle w:val="Standard"/>
        <w:spacing w:lineRule="auto" w:line="276"/>
        <w:ind w:left="567" w:hanging="774"/>
        <w:jc w:val="both"/>
        <w:rPr>
          <w:rFonts w:ascii="Calibri" w:hAnsi="Calibri" w:asciiTheme="minorHAnsi" w:hAnsiTheme="minorHAnsi"/>
          <w:sz w:val="22"/>
          <w:szCs w:val="22"/>
        </w:rPr>
      </w:pPr>
      <w:r>
        <w:rPr>
          <w:rFonts w:asciiTheme="minorHAnsi" w:hAnsiTheme="minorHAnsi" w:ascii="Calibri" w:hAnsi="Calibri"/>
          <w:sz w:val="22"/>
          <w:szCs w:val="22"/>
        </w:rPr>
      </w:r>
    </w:p>
    <w:p>
      <w:pPr>
        <w:pStyle w:val="Standard"/>
        <w:numPr>
          <w:ilvl w:val="0"/>
          <w:numId w:val="9"/>
        </w:numPr>
        <w:spacing w:lineRule="auto" w:line="276"/>
        <w:jc w:val="both"/>
        <w:rPr>
          <w:rFonts w:ascii="Calibri" w:hAnsi="Calibri" w:cs="Calibri" w:asciiTheme="minorHAnsi" w:hAnsiTheme="minorHAnsi"/>
          <w:bCs/>
          <w:sz w:val="22"/>
          <w:szCs w:val="22"/>
        </w:rPr>
      </w:pPr>
      <w:r>
        <w:rPr>
          <w:rFonts w:cs="Calibri" w:ascii="Calibri" w:hAnsi="Calibri" w:asciiTheme="minorHAnsi" w:hAnsiTheme="minorHAnsi"/>
          <w:b/>
          <w:bCs/>
          <w:sz w:val="22"/>
          <w:szCs w:val="22"/>
        </w:rPr>
        <w:t>Di non aver</w:t>
      </w:r>
      <w:r>
        <w:rPr>
          <w:rFonts w:cs="Calibri" w:ascii="Calibri" w:hAnsi="Calibri" w:asciiTheme="minorHAnsi" w:hAnsiTheme="minorHAnsi"/>
          <w:bCs/>
          <w:sz w:val="22"/>
          <w:szCs w:val="22"/>
        </w:rPr>
        <w:t xml:space="preserve"> commesso grave inadempimento nei confronti di uno o più subappaltatori;</w:t>
      </w:r>
    </w:p>
    <w:p>
      <w:pPr>
        <w:pStyle w:val="Standard"/>
        <w:spacing w:lineRule="auto" w:line="276"/>
        <w:ind w:left="567" w:hanging="774"/>
        <w:jc w:val="both"/>
        <w:rPr>
          <w:rFonts w:ascii="Calibri" w:hAnsi="Calibri" w:asciiTheme="minorHAnsi" w:hAnsiTheme="minorHAnsi"/>
          <w:sz w:val="22"/>
          <w:szCs w:val="22"/>
        </w:rPr>
      </w:pPr>
      <w:r>
        <w:rPr>
          <w:rFonts w:asciiTheme="minorHAnsi" w:hAnsiTheme="minorHAnsi" w:ascii="Calibri" w:hAnsi="Calibri"/>
          <w:sz w:val="22"/>
          <w:szCs w:val="22"/>
        </w:rPr>
      </w:r>
    </w:p>
    <w:p>
      <w:pPr>
        <w:pStyle w:val="Standard"/>
        <w:numPr>
          <w:ilvl w:val="0"/>
          <w:numId w:val="9"/>
        </w:numPr>
        <w:spacing w:lineRule="auto" w:line="276"/>
        <w:jc w:val="both"/>
        <w:rPr>
          <w:rFonts w:ascii="Calibri" w:hAnsi="Calibri" w:cs="Calibri" w:asciiTheme="minorHAnsi" w:hAnsiTheme="minorHAnsi"/>
          <w:bCs/>
          <w:sz w:val="22"/>
          <w:szCs w:val="22"/>
        </w:rPr>
      </w:pPr>
      <w:r>
        <w:rPr>
          <w:rFonts w:cs="Calibri" w:ascii="Calibri" w:hAnsi="Calibri" w:asciiTheme="minorHAnsi" w:hAnsiTheme="minorHAnsi"/>
          <w:b/>
          <w:bCs/>
          <w:sz w:val="22"/>
          <w:szCs w:val="22"/>
        </w:rPr>
        <w:t>Di non aver</w:t>
      </w:r>
      <w:r>
        <w:rPr>
          <w:rFonts w:cs="Calibri" w:ascii="Calibri" w:hAnsi="Calibri" w:asciiTheme="minorHAnsi" w:hAnsiTheme="minorHAnsi"/>
          <w:bCs/>
          <w:sz w:val="22"/>
          <w:szCs w:val="22"/>
        </w:rPr>
        <w:t xml:space="preserve"> violato il divieto di intestazione fiduciaria di cui all'articolo 17 della legge 19 marzo 1990, n. 55, o che comunque la violazione è stata rimossa;</w:t>
      </w:r>
    </w:p>
    <w:p>
      <w:pPr>
        <w:pStyle w:val="Standard"/>
        <w:spacing w:lineRule="auto" w:line="276"/>
        <w:ind w:left="567" w:hanging="774"/>
        <w:jc w:val="both"/>
        <w:rPr>
          <w:rFonts w:ascii="Calibri" w:hAnsi="Calibri" w:asciiTheme="minorHAnsi" w:hAnsiTheme="minorHAnsi"/>
          <w:sz w:val="22"/>
          <w:szCs w:val="22"/>
        </w:rPr>
      </w:pPr>
      <w:r>
        <w:rPr>
          <w:rFonts w:asciiTheme="minorHAnsi" w:hAnsiTheme="minorHAnsi" w:ascii="Calibri" w:hAnsi="Calibri"/>
          <w:sz w:val="22"/>
          <w:szCs w:val="22"/>
        </w:rPr>
      </w:r>
    </w:p>
    <w:p>
      <w:pPr>
        <w:pStyle w:val="Standard"/>
        <w:numPr>
          <w:ilvl w:val="0"/>
          <w:numId w:val="9"/>
        </w:numPr>
        <w:spacing w:lineRule="auto" w:line="276"/>
        <w:jc w:val="both"/>
        <w:rPr>
          <w:rFonts w:ascii="Calibri" w:hAnsi="Calibri" w:cs="Calibri" w:asciiTheme="minorHAnsi" w:hAnsiTheme="minorHAnsi"/>
          <w:sz w:val="22"/>
          <w:szCs w:val="22"/>
        </w:rPr>
      </w:pPr>
      <w:r>
        <w:rPr>
          <w:rFonts w:cs="Calibri" w:ascii="Calibri" w:hAnsi="Calibri" w:asciiTheme="minorHAnsi" w:hAnsiTheme="minorHAnsi"/>
          <w:b/>
          <w:bCs/>
          <w:sz w:val="22"/>
          <w:szCs w:val="22"/>
        </w:rPr>
        <w:t>Di non aver</w:t>
      </w:r>
      <w:r>
        <w:rPr>
          <w:rFonts w:cs="Calibri" w:ascii="Calibri" w:hAnsi="Calibri" w:asciiTheme="minorHAnsi" w:hAnsiTheme="minorHAnsi"/>
          <w:sz w:val="22"/>
          <w:szCs w:val="22"/>
        </w:rPr>
        <w:t xml:space="preserve">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p>
    <w:p>
      <w:pPr>
        <w:pStyle w:val="ListParagraph"/>
        <w:numPr>
          <w:ilvl w:val="0"/>
          <w:numId w:val="9"/>
        </w:numPr>
        <w:spacing w:lineRule="auto" w:line="240" w:before="0" w:after="0"/>
        <w:contextualSpacing/>
        <w:jc w:val="center"/>
        <w:rPr>
          <w:rFonts w:eastAsia="Times New Roman" w:cs="Arial"/>
          <w:lang w:eastAsia="it-IT"/>
        </w:rPr>
      </w:pPr>
      <w:r>
        <w:rPr>
          <w:rFonts w:eastAsia="Times New Roman" w:cs="Arial"/>
          <w:b/>
          <w:i/>
          <w:lang w:eastAsia="it-IT"/>
        </w:rPr>
        <w:t>(barrare la dichiarazione di interesse)</w:t>
      </w:r>
    </w:p>
    <w:p>
      <w:pPr>
        <w:pStyle w:val="Standard"/>
        <w:numPr>
          <w:ilvl w:val="0"/>
          <w:numId w:val="8"/>
        </w:numPr>
        <w:spacing w:lineRule="auto" w:line="276"/>
        <w:jc w:val="both"/>
        <w:rPr>
          <w:rFonts w:ascii="Calibri" w:hAnsi="Calibri" w:cs="Calibri" w:asciiTheme="minorHAnsi" w:hAnsiTheme="minorHAnsi"/>
          <w:sz w:val="22"/>
          <w:szCs w:val="22"/>
        </w:rPr>
      </w:pPr>
      <w:r>
        <w:rPr>
          <w:rFonts w:cs="Calibri" w:ascii="Calibri" w:hAnsi="Calibri" w:asciiTheme="minorHAnsi" w:hAnsiTheme="minorHAnsi"/>
          <w:b/>
          <w:bCs/>
          <w:sz w:val="22"/>
          <w:szCs w:val="22"/>
        </w:rPr>
        <w:t>che non è stata</w:t>
      </w:r>
      <w:r>
        <w:rPr>
          <w:rFonts w:cs="Calibri" w:ascii="Calibri" w:hAnsi="Calibri" w:asciiTheme="minorHAnsi" w:hAnsiTheme="minorHAnsi"/>
          <w:sz w:val="22"/>
          <w:szCs w:val="22"/>
        </w:rPr>
        <w:t xml:space="preserve"> contestata la commissione da parte del di taluno dei reati consumati o tentati di cui al comma 1 del medesimo articolo 94;</w:t>
      </w:r>
    </w:p>
    <w:p>
      <w:pPr>
        <w:pStyle w:val="Normal"/>
        <w:ind w:left="1985" w:hanging="567"/>
        <w:jc w:val="both"/>
        <w:rPr>
          <w:rFonts w:eastAsia="Times New Roman" w:cs="Arial"/>
          <w:b/>
          <w:b/>
          <w:lang w:eastAsia="it-IT"/>
        </w:rPr>
      </w:pPr>
      <w:r>
        <w:rPr>
          <w:rFonts w:eastAsia="Times New Roman" w:cs="Arial"/>
          <w:b/>
          <w:lang w:eastAsia="it-IT"/>
        </w:rPr>
      </w:r>
    </w:p>
    <w:p>
      <w:pPr>
        <w:pStyle w:val="Normal"/>
        <w:ind w:left="1985" w:hanging="567"/>
        <w:jc w:val="both"/>
        <w:rPr>
          <w:rFonts w:eastAsia="Times New Roman" w:cs="Arial"/>
          <w:b/>
          <w:b/>
          <w:lang w:eastAsia="it-IT"/>
        </w:rPr>
      </w:pPr>
      <w:r>
        <w:rPr>
          <w:rFonts w:eastAsia="Times New Roman" w:cs="Arial"/>
          <w:b/>
          <w:lang w:eastAsia="it-IT"/>
        </w:rPr>
        <w:t>OPPURE</w:t>
      </w:r>
    </w:p>
    <w:p>
      <w:pPr>
        <w:pStyle w:val="ListParagraph"/>
        <w:numPr>
          <w:ilvl w:val="0"/>
          <w:numId w:val="8"/>
        </w:numPr>
        <w:jc w:val="both"/>
        <w:rPr>
          <w:rFonts w:eastAsia="Times New Roman" w:cs="Arial"/>
          <w:lang w:eastAsia="it-IT"/>
        </w:rPr>
      </w:pPr>
      <w:r>
        <w:rPr>
          <w:rFonts w:eastAsia="Times New Roman" w:cs="Arial"/>
          <w:lang w:eastAsia="it-IT"/>
        </w:rPr>
        <w:t xml:space="preserve">che nei propri confronti sono </w:t>
      </w:r>
      <w:r>
        <w:rPr>
          <w:rFonts w:eastAsia="Times New Roman" w:cs="Arial"/>
          <w:b/>
          <w:u w:val="single"/>
          <w:lang w:eastAsia="it-IT"/>
        </w:rPr>
        <w:t>pendenti</w:t>
      </w:r>
      <w:r>
        <w:rPr>
          <w:rFonts w:eastAsia="Times New Roman" w:cs="Arial"/>
          <w:lang w:eastAsia="it-IT"/>
        </w:rPr>
        <w:t xml:space="preserve"> giudizi o emesse sentenze, ancorché non definitive, per i reati di cui al comma 1 dell’art. 94 del D.Lgs. 36/2023 come segue: (INDICARE i riferimenti dovuti) </w:t>
      </w:r>
    </w:p>
    <w:p>
      <w:pPr>
        <w:pStyle w:val="Normal"/>
        <w:ind w:left="1985" w:hanging="0"/>
        <w:jc w:val="both"/>
        <w:rPr>
          <w:rFonts w:eastAsia="Times New Roman" w:cs="Arial"/>
          <w:lang w:eastAsia="it-IT"/>
        </w:rPr>
      </w:pPr>
      <w:r>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andard"/>
        <w:spacing w:lineRule="auto" w:line="276"/>
        <w:ind w:left="1985" w:hanging="0"/>
        <w:jc w:val="both"/>
        <w:rPr>
          <w:rFonts w:ascii="Calibri" w:hAnsi="Calibri" w:cs="Calibri" w:asciiTheme="minorHAnsi" w:hAnsiTheme="minorHAnsi"/>
          <w:b/>
          <w:b/>
          <w:bCs/>
          <w:sz w:val="22"/>
          <w:szCs w:val="22"/>
        </w:rPr>
      </w:pPr>
      <w:r>
        <w:rPr>
          <w:rFonts w:cs="Calibri" w:ascii="Calibri" w:hAnsi="Calibri"/>
          <w:b/>
          <w:bCs/>
          <w:sz w:val="22"/>
          <w:szCs w:val="22"/>
        </w:rPr>
      </w:r>
    </w:p>
    <w:p>
      <w:pPr>
        <w:pStyle w:val="Standard"/>
        <w:numPr>
          <w:ilvl w:val="0"/>
          <w:numId w:val="10"/>
        </w:numPr>
        <w:spacing w:lineRule="auto" w:line="276"/>
        <w:jc w:val="both"/>
        <w:rPr>
          <w:rFonts w:ascii="Calibri" w:hAnsi="Calibri" w:asciiTheme="minorHAnsi" w:hAnsiTheme="minorHAnsi"/>
          <w:sz w:val="22"/>
          <w:szCs w:val="22"/>
        </w:rPr>
      </w:pPr>
      <w:r>
        <w:rPr>
          <w:rFonts w:cs="Calibri" w:ascii="Calibri" w:hAnsi="Calibri" w:asciiTheme="minorHAnsi" w:hAnsiTheme="minorHAnsi"/>
          <w:b/>
          <w:bCs/>
          <w:sz w:val="22"/>
          <w:szCs w:val="22"/>
        </w:rPr>
        <w:t>che non è stata</w:t>
      </w:r>
      <w:r>
        <w:rPr>
          <w:rFonts w:cs="Calibri" w:ascii="Calibri" w:hAnsi="Calibri" w:asciiTheme="minorHAnsi" w:hAnsiTheme="minorHAnsi"/>
          <w:bCs/>
          <w:sz w:val="22"/>
          <w:szCs w:val="22"/>
        </w:rPr>
        <w:t xml:space="preserve"> contestata o accertata commissione, da parte dell’operatore economico, di taluno dei seguenti reati consumati (</w:t>
      </w:r>
      <w:r>
        <w:rPr>
          <w:rFonts w:cs="Calibri" w:ascii="Calibri" w:hAnsi="Calibri" w:asciiTheme="minorHAnsi" w:hAnsiTheme="minorHAnsi"/>
          <w:bCs/>
          <w:i/>
        </w:rPr>
        <w:t>Ai sensi dell</w:t>
      </w:r>
      <w:r>
        <w:rPr>
          <w:rFonts w:cs="Calibri" w:ascii="Calibri" w:hAnsi="Calibri" w:asciiTheme="minorHAnsi" w:hAnsiTheme="minorHAnsi"/>
          <w:i/>
        </w:rPr>
        <w:t>’articolo 95 comma 3, “Con riferimento alle fattispecie di cui al comma 3, lettera h), dell’articolo 98, l’esclusione non è disposta e il divieto di aggiudicare non si applica quando: a) il reato è stato depenalizzato; b) è intervenuta la riabilitazione; c) nei casi di condanna a una pena accessoria perpetua, questa è stata dichiarata estinta ai sensi dell’articolo 179, settimo comma, del codice penale; d) il reato è stato dichiarato estinto dopo la condanna; e) la condanna è stata revocata”</w:t>
      </w:r>
      <w:r>
        <w:rPr>
          <w:rFonts w:cs="Calibri" w:ascii="Calibri" w:hAnsi="Calibri" w:asciiTheme="minorHAnsi" w:hAnsiTheme="minorHAnsi"/>
          <w:bCs/>
          <w:sz w:val="22"/>
          <w:szCs w:val="22"/>
        </w:rPr>
        <w:t>):</w:t>
      </w:r>
    </w:p>
    <w:p>
      <w:pPr>
        <w:pStyle w:val="Standard"/>
        <w:ind w:left="1985" w:hanging="0"/>
        <w:jc w:val="both"/>
        <w:rPr>
          <w:rFonts w:ascii="Calibri" w:hAnsi="Calibri" w:asciiTheme="minorHAnsi" w:hAnsiTheme="minorHAnsi"/>
          <w:sz w:val="22"/>
          <w:szCs w:val="22"/>
        </w:rPr>
      </w:pPr>
      <w:r>
        <w:rPr>
          <w:rFonts w:cs="Calibri" w:ascii="Calibri" w:hAnsi="Calibri" w:asciiTheme="minorHAnsi" w:hAnsiTheme="minorHAnsi"/>
          <w:bCs/>
          <w:sz w:val="22"/>
          <w:szCs w:val="22"/>
        </w:rPr>
        <w:t xml:space="preserve">1) </w:t>
      </w:r>
      <w:r>
        <w:rPr>
          <w:rFonts w:cs="Calibri" w:ascii="Calibri" w:hAnsi="Calibri" w:asciiTheme="minorHAnsi" w:hAnsiTheme="minorHAnsi"/>
          <w:sz w:val="22"/>
          <w:szCs w:val="22"/>
        </w:rPr>
        <w:t>abusivo esercizio di una professione, ai sensi dell’articolo 348 del codice penale;</w:t>
      </w:r>
    </w:p>
    <w:p>
      <w:pPr>
        <w:pStyle w:val="Standard"/>
        <w:spacing w:lineRule="auto" w:line="276"/>
        <w:ind w:left="1985" w:right="57" w:hanging="0"/>
        <w:jc w:val="both"/>
        <w:rPr>
          <w:rFonts w:ascii="Calibri" w:hAnsi="Calibri" w:asciiTheme="minorHAnsi" w:hAnsiTheme="minorHAnsi"/>
          <w:sz w:val="22"/>
          <w:szCs w:val="22"/>
        </w:rPr>
      </w:pPr>
      <w:r>
        <w:rPr>
          <w:rFonts w:cs="Calibri" w:ascii="Calibri" w:hAnsi="Calibri" w:asciiTheme="minorHAnsi" w:hAnsiTheme="minorHAnsi"/>
          <w:sz w:val="22"/>
          <w:szCs w:val="22"/>
        </w:rPr>
        <w:t xml:space="preserve">2) bancarotta semplice, bancarotta fraudolenta, omessa dichiarazione di beni da comprendere nell’inventario </w:t>
      </w:r>
      <w:r>
        <w:rPr>
          <w:rFonts w:cs="Calibri" w:ascii="Calibri" w:hAnsi="Calibri" w:asciiTheme="minorHAnsi" w:hAnsiTheme="minorHAnsi"/>
          <w:color w:val="000000"/>
          <w:sz w:val="22"/>
          <w:szCs w:val="22"/>
        </w:rPr>
        <w:t>fallimentare o ricorso abusivo al credito, di cui agli articoli 216, 217, 218 e 220 del regio decreto 16 marzo 1942, n. 267;</w:t>
      </w:r>
    </w:p>
    <w:p>
      <w:pPr>
        <w:pStyle w:val="Standard"/>
        <w:ind w:left="1985" w:hanging="0"/>
        <w:jc w:val="both"/>
        <w:rPr>
          <w:rFonts w:ascii="Calibri" w:hAnsi="Calibri" w:cs="Calibri" w:asciiTheme="minorHAnsi" w:hAnsiTheme="minorHAnsi"/>
          <w:sz w:val="22"/>
          <w:szCs w:val="22"/>
        </w:rPr>
      </w:pPr>
      <w:r>
        <w:rPr>
          <w:rFonts w:cs="Calibri" w:ascii="Calibri" w:hAnsi="Calibri" w:asciiTheme="minorHAnsi" w:hAnsiTheme="minorHAnsi"/>
          <w:sz w:val="22"/>
          <w:szCs w:val="22"/>
        </w:rPr>
        <w:t>3) i reati tributari ai sensi del decreto legislativo 10 marzo 2000, n. 74, i delitti societari di cui agli articoli 2621 e seguenti del codice civile o i delitti contro l’industria e il commercio di cui agli articoli da 513 a 517 del codice penale;</w:t>
      </w:r>
    </w:p>
    <w:p>
      <w:pPr>
        <w:pStyle w:val="Standard"/>
        <w:ind w:left="1985" w:hanging="0"/>
        <w:jc w:val="both"/>
        <w:rPr>
          <w:rFonts w:ascii="Calibri" w:hAnsi="Calibri" w:cs="Calibri" w:asciiTheme="minorHAnsi" w:hAnsiTheme="minorHAnsi"/>
          <w:sz w:val="22"/>
          <w:szCs w:val="22"/>
        </w:rPr>
      </w:pPr>
      <w:r>
        <w:rPr>
          <w:rFonts w:cs="Calibri" w:ascii="Calibri" w:hAnsi="Calibri" w:asciiTheme="minorHAnsi" w:hAnsiTheme="minorHAnsi"/>
          <w:sz w:val="22"/>
          <w:szCs w:val="22"/>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pPr>
        <w:pStyle w:val="Standard"/>
        <w:spacing w:lineRule="auto" w:line="276"/>
        <w:ind w:left="1985" w:right="57" w:hanging="0"/>
        <w:jc w:val="both"/>
        <w:rPr>
          <w:rFonts w:ascii="Calibri" w:hAnsi="Calibri" w:cs="Calibri" w:asciiTheme="minorHAnsi" w:hAnsiTheme="minorHAnsi"/>
          <w:sz w:val="22"/>
          <w:szCs w:val="22"/>
        </w:rPr>
      </w:pPr>
      <w:r>
        <w:rPr>
          <w:rFonts w:cs="Calibri" w:ascii="Calibri" w:hAnsi="Calibri" w:asciiTheme="minorHAnsi" w:hAnsiTheme="minorHAnsi"/>
          <w:sz w:val="22"/>
          <w:szCs w:val="22"/>
        </w:rPr>
        <w:t>5) i reati previsti dal decreto legislativo 8 giugno 2001, n. 231.</w:t>
      </w:r>
    </w:p>
    <w:p>
      <w:pPr>
        <w:pStyle w:val="Standard"/>
        <w:spacing w:lineRule="auto" w:line="276"/>
        <w:ind w:left="1985" w:right="57" w:hanging="0"/>
        <w:jc w:val="both"/>
        <w:rPr>
          <w:rFonts w:ascii="Calibri" w:hAnsi="Calibri" w:cs="Calibri" w:asciiTheme="minorHAnsi" w:hAnsiTheme="minorHAnsi"/>
          <w:sz w:val="22"/>
          <w:szCs w:val="22"/>
        </w:rPr>
      </w:pPr>
      <w:r>
        <w:rPr>
          <w:rFonts w:cs="Calibri" w:ascii="Calibri" w:hAnsi="Calibri"/>
          <w:sz w:val="22"/>
          <w:szCs w:val="22"/>
        </w:rPr>
      </w:r>
    </w:p>
    <w:p>
      <w:pPr>
        <w:pStyle w:val="Standard"/>
        <w:spacing w:lineRule="auto" w:line="276"/>
        <w:ind w:left="1985" w:right="57" w:hanging="0"/>
        <w:jc w:val="both"/>
        <w:rPr>
          <w:rFonts w:ascii="Calibri" w:hAnsi="Calibri" w:cs="Calibri" w:asciiTheme="minorHAnsi" w:hAnsiTheme="minorHAnsi"/>
          <w:sz w:val="22"/>
          <w:szCs w:val="22"/>
        </w:rPr>
      </w:pPr>
      <w:r>
        <w:rPr>
          <w:rFonts w:cs="Calibri" w:ascii="Calibri" w:hAnsi="Calibri"/>
          <w:sz w:val="22"/>
          <w:szCs w:val="22"/>
        </w:rPr>
      </w:r>
    </w:p>
    <w:p>
      <w:pPr>
        <w:pStyle w:val="ListParagraph"/>
        <w:numPr>
          <w:ilvl w:val="0"/>
          <w:numId w:val="9"/>
        </w:numPr>
        <w:spacing w:lineRule="auto" w:line="240" w:before="0" w:after="0"/>
        <w:contextualSpacing/>
        <w:jc w:val="center"/>
        <w:rPr>
          <w:rFonts w:eastAsia="Times New Roman" w:cs="Arial"/>
          <w:lang w:eastAsia="it-IT"/>
        </w:rPr>
      </w:pPr>
      <w:r>
        <w:rPr>
          <w:rFonts w:eastAsia="Times New Roman" w:cs="Arial"/>
          <w:b/>
          <w:i/>
          <w:lang w:eastAsia="it-IT"/>
        </w:rPr>
        <w:t>(barrare la dichiarazione di interesse)</w:t>
      </w:r>
    </w:p>
    <w:p>
      <w:pPr>
        <w:pStyle w:val="ListParagraph"/>
        <w:numPr>
          <w:ilvl w:val="0"/>
          <w:numId w:val="2"/>
        </w:numPr>
        <w:jc w:val="both"/>
        <w:rPr>
          <w:rFonts w:eastAsia="Times New Roman" w:cs="Arial"/>
          <w:lang w:eastAsia="it-IT"/>
        </w:rPr>
      </w:pPr>
      <w:r>
        <w:rPr>
          <w:rFonts w:eastAsia="Times New Roman" w:cs="Arial"/>
          <w:b/>
          <w:u w:val="single"/>
          <w:lang w:eastAsia="it-IT"/>
        </w:rPr>
        <w:t xml:space="preserve">2.5.1 </w:t>
      </w:r>
      <w:r>
        <w:rPr>
          <w:rFonts w:eastAsia="Times New Roman" w:cs="Arial"/>
          <w:lang w:eastAsia="it-IT"/>
        </w:rPr>
        <w:t>che nei propri confronti non sono pendenti giudizi o emesse sentenze, ancorché non definitive, per i reati di cui alla lett. a) ed e) dell’art. 95, comma 1, del D. Lgs. 36/2023.</w:t>
      </w:r>
    </w:p>
    <w:p>
      <w:pPr>
        <w:pStyle w:val="Normal"/>
        <w:jc w:val="both"/>
        <w:rPr>
          <w:rFonts w:eastAsia="Times New Roman" w:cs="Arial"/>
          <w:b/>
          <w:b/>
          <w:lang w:eastAsia="it-IT"/>
        </w:rPr>
      </w:pPr>
      <w:r>
        <w:rPr>
          <w:rFonts w:eastAsia="Times New Roman" w:cs="Arial"/>
          <w:b/>
          <w:lang w:eastAsia="it-IT"/>
        </w:rPr>
        <w:t>OPPURE</w:t>
      </w:r>
    </w:p>
    <w:p>
      <w:pPr>
        <w:pStyle w:val="Normal"/>
        <w:numPr>
          <w:ilvl w:val="0"/>
          <w:numId w:val="2"/>
        </w:numPr>
        <w:ind w:left="567" w:hanging="567"/>
        <w:jc w:val="both"/>
        <w:rPr>
          <w:rFonts w:eastAsia="Times New Roman" w:cs="Arial"/>
          <w:lang w:eastAsia="it-IT"/>
        </w:rPr>
      </w:pPr>
      <w:r>
        <w:rPr>
          <w:rFonts w:eastAsia="Times New Roman" w:cs="Arial"/>
          <w:lang w:eastAsia="it-IT"/>
        </w:rPr>
        <w:t xml:space="preserve">che nei propri confronti sono pendenti giudizi o emesse sentenze, ancorché non definitive, per i reati di cui alla lett. a) ed e) come segue: (INDICARE i riferimenti dovuti) </w:t>
      </w:r>
    </w:p>
    <w:p>
      <w:pPr>
        <w:pStyle w:val="Normal"/>
        <w:ind w:left="567" w:hanging="0"/>
        <w:jc w:val="both"/>
        <w:rPr>
          <w:rFonts w:eastAsia="Times New Roman" w:cs="Arial"/>
          <w:lang w:eastAsia="it-IT"/>
        </w:rPr>
      </w:pPr>
      <w:r>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ind w:left="567" w:hanging="0"/>
        <w:jc w:val="both"/>
        <w:rPr>
          <w:rFonts w:eastAsia="Times New Roman" w:cs="Arial"/>
          <w:lang w:eastAsia="it-IT"/>
        </w:rPr>
      </w:pPr>
      <w:r>
        <w:rPr>
          <w:rFonts w:eastAsia="Times New Roman" w:cs="Arial"/>
          <w:lang w:eastAsia="it-IT"/>
        </w:rPr>
      </w:r>
    </w:p>
    <w:p>
      <w:pPr>
        <w:pStyle w:val="ListParagraph"/>
        <w:numPr>
          <w:ilvl w:val="0"/>
          <w:numId w:val="9"/>
        </w:numPr>
        <w:spacing w:lineRule="auto" w:line="240" w:before="0" w:after="0"/>
        <w:contextualSpacing/>
        <w:jc w:val="center"/>
        <w:rPr>
          <w:rFonts w:eastAsia="Times New Roman" w:cs="Arial"/>
          <w:lang w:eastAsia="it-IT"/>
        </w:rPr>
      </w:pPr>
      <w:r>
        <w:rPr>
          <w:rFonts w:eastAsia="Times New Roman" w:cs="Arial"/>
          <w:b/>
          <w:i/>
          <w:lang w:eastAsia="it-IT"/>
        </w:rPr>
        <w:t>(barrare la dichiarazione di interesse)</w:t>
      </w:r>
    </w:p>
    <w:p>
      <w:pPr>
        <w:pStyle w:val="ListParagraph"/>
        <w:numPr>
          <w:ilvl w:val="0"/>
          <w:numId w:val="2"/>
        </w:numPr>
        <w:ind w:left="567" w:hanging="567"/>
        <w:jc w:val="both"/>
        <w:rPr>
          <w:rFonts w:eastAsia="Times New Roman" w:cs="Arial"/>
          <w:lang w:eastAsia="it-IT"/>
        </w:rPr>
      </w:pPr>
      <w:r>
        <w:rPr>
          <w:rFonts w:cs="Arial"/>
          <w:b/>
          <w:u w:val="single"/>
        </w:rPr>
        <w:t>2.6.</w:t>
      </w:r>
      <w:r>
        <w:rPr>
          <w:rFonts w:cs="Arial"/>
        </w:rPr>
        <w:t xml:space="preserve"> di non aver commesso violazioni gravi, </w:t>
      </w:r>
      <w:r>
        <w:rPr>
          <w:rFonts w:cs="Arial"/>
          <w:b/>
          <w:u w:val="single"/>
        </w:rPr>
        <w:t>NON definitivamente accertate</w:t>
      </w:r>
      <w:r>
        <w:rPr>
          <w:rFonts w:cs="Arial"/>
        </w:rPr>
        <w:t>, rispetto agli obblighi relativi al pagamento delle imposte e tasse o i contributi previdenziali</w:t>
      </w:r>
    </w:p>
    <w:p>
      <w:pPr>
        <w:pStyle w:val="ListParagraph"/>
        <w:ind w:left="567" w:hanging="567"/>
        <w:jc w:val="both"/>
        <w:rPr>
          <w:rFonts w:cs="Arial"/>
        </w:rPr>
      </w:pPr>
      <w:r>
        <w:rPr>
          <w:rFonts w:cs="Arial"/>
        </w:rPr>
      </w:r>
    </w:p>
    <w:p>
      <w:pPr>
        <w:pStyle w:val="ListParagraph"/>
        <w:ind w:left="567" w:hanging="567"/>
        <w:jc w:val="both"/>
        <w:rPr>
          <w:rFonts w:eastAsia="Times New Roman" w:cs="Arial"/>
          <w:b/>
          <w:b/>
          <w:lang w:eastAsia="it-IT"/>
        </w:rPr>
      </w:pPr>
      <w:r>
        <w:rPr>
          <w:rFonts w:cs="Arial"/>
          <w:b/>
        </w:rPr>
        <w:t>OPPURE</w:t>
      </w:r>
    </w:p>
    <w:p>
      <w:pPr>
        <w:pStyle w:val="ListParagraph"/>
        <w:numPr>
          <w:ilvl w:val="0"/>
          <w:numId w:val="2"/>
        </w:numPr>
        <w:spacing w:lineRule="auto" w:line="360"/>
        <w:ind w:left="567" w:hanging="567"/>
        <w:jc w:val="both"/>
        <w:rPr>
          <w:rFonts w:eastAsia="Times New Roman" w:cs="Arial"/>
          <w:lang w:eastAsia="it-IT"/>
        </w:rPr>
      </w:pPr>
      <w:r>
        <w:rPr>
          <w:rFonts w:cs="Arial"/>
        </w:rPr>
        <w:t xml:space="preserve">che sono state commesse le seguenti violazioni </w:t>
      </w:r>
      <w:r>
        <w:rPr>
          <w:rFonts w:cs="Arial"/>
          <w:b/>
          <w:u w:val="single"/>
        </w:rPr>
        <w:t>NON</w:t>
      </w:r>
      <w:r>
        <w:rPr>
          <w:rFonts w:cs="Arial"/>
        </w:rPr>
        <w:t xml:space="preserve"> definitivamente accertate, rispetto agli obblighi relativi al pagamento delle imposte e tasse o i contributi previdenziali, </w:t>
      </w:r>
      <w:r>
        <w:rPr>
          <w:rFonts w:eastAsia="Times New Roman" w:cs="Arial"/>
          <w:lang w:eastAsia="it-IT"/>
        </w:rPr>
        <w:t>(</w:t>
      </w:r>
      <w:r>
        <w:rPr>
          <w:rFonts w:cs="Arial"/>
        </w:rPr>
        <w:t>INDICARE EVENTUALI MISURE INTRAPRESE IN MERITO) 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spacing w:lineRule="auto" w:line="360"/>
        <w:ind w:left="567" w:hanging="0"/>
        <w:jc w:val="both"/>
        <w:rPr>
          <w:rFonts w:eastAsia="Times New Roman" w:cs="Arial"/>
          <w:lang w:eastAsia="it-IT"/>
        </w:rPr>
      </w:pPr>
      <w:r>
        <w:rPr>
          <w:rFonts w:cs="Arial"/>
        </w:rPr>
        <w:t>____________________________________________________________________</w:t>
      </w:r>
      <w:r>
        <w:rPr>
          <w:rFonts w:eastAsia="Times New Roman" w:cs="Arial"/>
          <w:lang w:eastAsia="it-IT"/>
        </w:rPr>
        <w:t>e che rispetto alle violazioni sopra indicate ha ottemperato ai propri obblighi pagando o impegnandosi in modo vincolante a pagare le imposte o i contributi previdenziali dovuti, compresi eventuali interessi o sanzioni, oppure quando il debito tributario o previdenziale sia comunque integralmente estinto, purchè l’estinzione, il pagamento o l’impegno si siano perfezionati anteriormente alla scadenza del termine di presentazione dell’offerta, oppure nel caso in cui l’operatore economico abbia compensato il debito tributario con crediti certificati vantati nei confronti della P.A.</w:t>
      </w:r>
    </w:p>
    <w:p>
      <w:pPr>
        <w:pStyle w:val="ListParagraph"/>
        <w:spacing w:lineRule="auto" w:line="360"/>
        <w:ind w:left="567" w:hanging="0"/>
        <w:jc w:val="both"/>
        <w:rPr>
          <w:rFonts w:eastAsia="Times New Roman" w:cs="Arial"/>
          <w:lang w:eastAsia="it-IT"/>
        </w:rPr>
      </w:pPr>
      <w:r>
        <w:rPr>
          <w:rFonts w:eastAsia="Times New Roman" w:cs="Arial"/>
          <w:lang w:eastAsia="it-IT"/>
        </w:rPr>
        <w:t>(INDICARE E ALLEGARE EVENTUALE PIANO DI RIENTRO (DATA E DURATA)___________________________________________________________________________________________________________________________________________________________________________________________________________________________________________</w:t>
      </w:r>
    </w:p>
    <w:p>
      <w:pPr>
        <w:pStyle w:val="ListParagraph"/>
        <w:numPr>
          <w:ilvl w:val="0"/>
          <w:numId w:val="9"/>
        </w:numPr>
        <w:spacing w:lineRule="auto" w:line="240" w:before="0" w:after="0"/>
        <w:contextualSpacing/>
        <w:jc w:val="center"/>
        <w:rPr>
          <w:rFonts w:eastAsia="Times New Roman" w:cs="Arial"/>
          <w:lang w:eastAsia="it-IT"/>
        </w:rPr>
      </w:pPr>
      <w:r>
        <w:rPr>
          <w:rFonts w:eastAsia="Times New Roman" w:cs="Arial"/>
          <w:b/>
          <w:i/>
          <w:lang w:eastAsia="it-IT"/>
        </w:rPr>
        <w:t>(barrare la dichiarazione di interesse)</w:t>
      </w:r>
    </w:p>
    <w:p>
      <w:pPr>
        <w:pStyle w:val="NormalWeb"/>
        <w:numPr>
          <w:ilvl w:val="0"/>
          <w:numId w:val="3"/>
        </w:numPr>
        <w:spacing w:lineRule="auto" w:line="276" w:before="280" w:after="280"/>
        <w:ind w:left="567" w:hanging="567"/>
        <w:jc w:val="both"/>
        <w:rPr>
          <w:rFonts w:ascii="Calibri" w:hAnsi="Calibri" w:cs="Arial" w:asciiTheme="minorHAnsi" w:hAnsiTheme="minorHAnsi"/>
          <w:sz w:val="22"/>
          <w:szCs w:val="22"/>
        </w:rPr>
      </w:pPr>
      <w:r>
        <w:rPr>
          <w:rFonts w:cs="Arial" w:ascii="Calibri" w:hAnsi="Calibri" w:asciiTheme="minorHAnsi" w:hAnsiTheme="minorHAnsi"/>
          <w:b/>
          <w:sz w:val="22"/>
          <w:szCs w:val="22"/>
          <w:u w:val="single"/>
        </w:rPr>
        <w:t xml:space="preserve">2.7 </w:t>
      </w:r>
      <w:r>
        <w:rPr>
          <w:rFonts w:cs="Arial" w:ascii="Calibri" w:hAnsi="Calibri" w:asciiTheme="minorHAnsi" w:hAnsiTheme="minorHAnsi"/>
          <w:sz w:val="22"/>
          <w:szCs w:val="22"/>
        </w:rPr>
        <w:t>che l’operatore economico, versando in una delle situazioni di cui all’art. 94 (ad eccezione del comma 6) o dell’art. 95 (ad eccezione del comma 2) del D.Lgs. 36/2023, comprova di aver adottato, ai sensi dell’art. 96 comma 6, le seguenti misure di Self Cleaning:</w:t>
      </w:r>
    </w:p>
    <w:p>
      <w:pPr>
        <w:pStyle w:val="NormalWeb"/>
        <w:spacing w:lineRule="auto" w:line="276" w:before="280" w:after="280"/>
        <w:ind w:left="567" w:hanging="0"/>
        <w:jc w:val="both"/>
        <w:rPr>
          <w:rFonts w:ascii="Calibri" w:hAnsi="Calibri" w:cs="Arial" w:asciiTheme="minorHAnsi" w:hAnsiTheme="minorHAnsi"/>
          <w:b/>
          <w:b/>
          <w:sz w:val="22"/>
          <w:szCs w:val="22"/>
        </w:rPr>
      </w:pPr>
      <w:r>
        <w:rPr>
          <w:rFonts w:cs="Arial" w:ascii="Calibri" w:hAnsi="Calibri" w:asciiTheme="minorHAnsi" w:hAnsiTheme="minorHAnsi"/>
          <w:b/>
          <w:sz w:val="22"/>
          <w:szCs w:val="22"/>
        </w:rPr>
        <w:t>_____________________________________________________________________________</w:t>
      </w:r>
    </w:p>
    <w:p>
      <w:pPr>
        <w:pStyle w:val="NormalWeb"/>
        <w:spacing w:lineRule="auto" w:line="276" w:before="280" w:after="280"/>
        <w:ind w:left="567" w:hanging="0"/>
        <w:jc w:val="both"/>
        <w:rPr>
          <w:rFonts w:ascii="Calibri" w:hAnsi="Calibri" w:cs="Arial" w:asciiTheme="minorHAnsi" w:hAnsiTheme="minorHAnsi"/>
          <w:sz w:val="22"/>
          <w:szCs w:val="22"/>
        </w:rPr>
      </w:pPr>
      <w:r>
        <w:rPr>
          <w:rFonts w:cs="Arial" w:ascii="Calibri" w:hAnsi="Calibri" w:asciiTheme="minorHAnsi" w:hAnsiTheme="minorHAnsi"/>
          <w:sz w:val="22"/>
          <w:szCs w:val="22"/>
        </w:rPr>
        <w:t>_____________________________________________________________________________</w:t>
      </w:r>
    </w:p>
    <w:p>
      <w:pPr>
        <w:pStyle w:val="NormalWeb"/>
        <w:spacing w:lineRule="auto" w:line="276" w:before="280" w:after="280"/>
        <w:ind w:left="567" w:hanging="0"/>
        <w:jc w:val="both"/>
        <w:rPr>
          <w:rFonts w:ascii="Calibri" w:hAnsi="Calibri" w:cs="Arial" w:asciiTheme="minorHAnsi" w:hAnsiTheme="minorHAnsi"/>
          <w:sz w:val="22"/>
          <w:szCs w:val="22"/>
        </w:rPr>
      </w:pPr>
      <w:r>
        <w:rPr>
          <w:rFonts w:cs="Arial" w:ascii="Calibri" w:hAnsi="Calibri" w:asciiTheme="minorHAnsi" w:hAnsiTheme="minorHAnsi"/>
          <w:sz w:val="22"/>
          <w:szCs w:val="22"/>
        </w:rPr>
        <w:t>_____________________________________________________________________________</w:t>
      </w:r>
    </w:p>
    <w:p>
      <w:pPr>
        <w:pStyle w:val="NormalWeb"/>
        <w:spacing w:lineRule="auto" w:line="276" w:before="280" w:after="280"/>
        <w:ind w:left="567" w:hanging="567"/>
        <w:jc w:val="both"/>
        <w:rPr>
          <w:rFonts w:ascii="Calibri" w:hAnsi="Calibri" w:cs="Arial" w:asciiTheme="minorHAnsi" w:hAnsiTheme="minorHAnsi"/>
          <w:b/>
          <w:b/>
          <w:sz w:val="22"/>
          <w:szCs w:val="22"/>
        </w:rPr>
      </w:pPr>
      <w:r>
        <w:rPr>
          <w:rFonts w:cs="Arial" w:ascii="Calibri" w:hAnsi="Calibri" w:asciiTheme="minorHAnsi" w:hAnsiTheme="minorHAnsi"/>
          <w:b/>
          <w:sz w:val="22"/>
          <w:szCs w:val="22"/>
        </w:rPr>
        <w:t>OPPURE</w:t>
      </w:r>
    </w:p>
    <w:p>
      <w:pPr>
        <w:pStyle w:val="NormalWeb"/>
        <w:numPr>
          <w:ilvl w:val="0"/>
          <w:numId w:val="7"/>
        </w:numPr>
        <w:spacing w:lineRule="auto" w:line="276" w:before="280" w:after="280"/>
        <w:ind w:left="567" w:hanging="567"/>
        <w:jc w:val="both"/>
        <w:rPr>
          <w:rFonts w:ascii="Calibri" w:hAnsi="Calibri" w:cs="Arial" w:asciiTheme="minorHAnsi" w:hAnsiTheme="minorHAnsi"/>
          <w:sz w:val="22"/>
          <w:szCs w:val="22"/>
        </w:rPr>
      </w:pPr>
      <w:r>
        <w:rPr>
          <w:rFonts w:cs="Arial" w:ascii="Calibri" w:hAnsi="Calibri" w:asciiTheme="minorHAnsi" w:hAnsiTheme="minorHAnsi"/>
          <w:sz w:val="22"/>
          <w:szCs w:val="22"/>
        </w:rPr>
        <w:t>Comprova di non aver potuto adottare misure di self cleaning prima della presentazione dell’offerta in quanto____________________________________________________________________            ____________________________________________________________________________</w:t>
      </w:r>
    </w:p>
    <w:p>
      <w:pPr>
        <w:pStyle w:val="NormalWeb"/>
        <w:spacing w:lineRule="auto" w:line="276" w:before="280" w:after="280"/>
        <w:ind w:left="567" w:hanging="0"/>
        <w:jc w:val="both"/>
        <w:rPr>
          <w:rFonts w:ascii="Calibri" w:hAnsi="Calibri" w:cs="Arial" w:asciiTheme="minorHAnsi" w:hAnsiTheme="minorHAnsi"/>
          <w:sz w:val="22"/>
          <w:szCs w:val="22"/>
        </w:rPr>
      </w:pPr>
      <w:r>
        <w:rPr>
          <w:rFonts w:cs="Arial" w:ascii="Calibri" w:hAnsi="Calibri" w:asciiTheme="minorHAnsi" w:hAnsiTheme="minorHAnsi"/>
          <w:sz w:val="22"/>
          <w:szCs w:val="22"/>
        </w:rPr>
        <w:t>_________________________________________________________________________________</w:t>
      </w:r>
    </w:p>
    <w:p>
      <w:pPr>
        <w:pStyle w:val="NormalWeb"/>
        <w:spacing w:lineRule="auto" w:line="276" w:before="280" w:after="280"/>
        <w:ind w:left="567" w:hanging="0"/>
        <w:jc w:val="both"/>
        <w:rPr>
          <w:rFonts w:ascii="Calibri" w:hAnsi="Calibri" w:cs="Arial" w:asciiTheme="minorHAnsi" w:hAnsiTheme="minorHAnsi"/>
          <w:sz w:val="22"/>
          <w:szCs w:val="22"/>
        </w:rPr>
      </w:pPr>
      <w:r>
        <w:rPr>
          <w:rFonts w:cs="Arial" w:ascii="Calibri" w:hAnsi="Calibri" w:asciiTheme="minorHAnsi" w:hAnsiTheme="minorHAnsi"/>
          <w:sz w:val="22"/>
          <w:szCs w:val="22"/>
        </w:rPr>
        <w:t>____________________________________________________________________e si impegna sin da ora ad adottare le misure correttive di cui al comma 6 dell’art. 96 del D.Lgs. 36/2023 entro il termine di conclusione della procedura, comunicandole tempestivamente alla stazione appaltante.</w:t>
      </w:r>
    </w:p>
    <w:p>
      <w:pPr>
        <w:pStyle w:val="NormalWeb"/>
        <w:spacing w:before="280" w:after="280"/>
        <w:ind w:left="567" w:hanging="567"/>
        <w:jc w:val="both"/>
        <w:rPr>
          <w:rFonts w:ascii="Calibri" w:hAnsi="Calibri" w:cs="Arial" w:asciiTheme="minorHAnsi" w:hAnsiTheme="minorHAnsi"/>
          <w:b/>
          <w:b/>
          <w:sz w:val="22"/>
          <w:szCs w:val="22"/>
        </w:rPr>
      </w:pPr>
      <w:r>
        <w:rPr>
          <w:rFonts w:cs="Arial" w:ascii="Calibri" w:hAnsi="Calibri" w:asciiTheme="minorHAnsi" w:hAnsiTheme="minorHAnsi"/>
          <w:b/>
          <w:sz w:val="22"/>
          <w:szCs w:val="22"/>
        </w:rPr>
        <w:t>OPPURE</w:t>
      </w:r>
    </w:p>
    <w:p>
      <w:pPr>
        <w:pStyle w:val="ListParagraph"/>
        <w:widowControl w:val="false"/>
        <w:numPr>
          <w:ilvl w:val="0"/>
          <w:numId w:val="4"/>
        </w:numPr>
        <w:spacing w:before="0" w:after="0"/>
        <w:ind w:left="567" w:hanging="567"/>
        <w:contextualSpacing/>
        <w:jc w:val="both"/>
        <w:rPr>
          <w:rFonts w:eastAsia="Times New Roman" w:cs="Arial"/>
          <w:lang w:eastAsia="it-IT"/>
        </w:rPr>
      </w:pPr>
      <w:r>
        <w:rPr>
          <w:rFonts w:eastAsia="Times New Roman" w:cs="Arial"/>
          <w:lang w:eastAsia="it-IT"/>
        </w:rPr>
        <w:t xml:space="preserve">In caso affermativo, fornire informazioni dettagliate, specificando la tipologia di illecito e le misure di </w:t>
      </w:r>
      <w:r>
        <w:rPr>
          <w:rFonts w:eastAsia="Times New Roman" w:cs="Arial"/>
          <w:i/>
          <w:lang w:eastAsia="it-IT"/>
        </w:rPr>
        <w:t>Self Cleaning</w:t>
      </w:r>
      <w:r>
        <w:rPr>
          <w:rFonts w:eastAsia="Times New Roman" w:cs="Arial"/>
          <w:lang w:eastAsia="it-IT"/>
        </w:rPr>
        <w:t xml:space="preserve"> e/o risarcitorie adottate dall’operatore economico ________________________________________________________________________________</w:t>
      </w:r>
    </w:p>
    <w:p>
      <w:pPr>
        <w:pStyle w:val="ListParagraph"/>
        <w:widowControl w:val="false"/>
        <w:spacing w:before="0" w:after="0"/>
        <w:ind w:left="567" w:hanging="567"/>
        <w:contextualSpacing/>
        <w:jc w:val="both"/>
        <w:rPr>
          <w:rFonts w:eastAsia="Times New Roman" w:cs="Arial"/>
          <w:lang w:eastAsia="it-IT"/>
        </w:rPr>
      </w:pPr>
      <w:r>
        <w:rPr>
          <w:rFonts w:eastAsia="Times New Roman" w:cs="Arial"/>
          <w:lang w:eastAsia="it-IT"/>
        </w:rPr>
      </w:r>
    </w:p>
    <w:p>
      <w:pPr>
        <w:pStyle w:val="ListParagraph"/>
        <w:widowControl w:val="false"/>
        <w:spacing w:before="0" w:after="0"/>
        <w:ind w:left="567" w:hanging="0"/>
        <w:contextualSpacing/>
        <w:jc w:val="both"/>
        <w:rPr>
          <w:rFonts w:eastAsia="Times New Roman" w:cs="Arial"/>
          <w:lang w:eastAsia="it-IT"/>
        </w:rPr>
      </w:pPr>
      <w:r>
        <w:rPr>
          <w:rFonts w:eastAsia="Times New Roman" w:cs="Arial"/>
          <w:lang w:eastAsia="it-IT"/>
        </w:rPr>
        <w:t>________________________________________________________________________________</w:t>
      </w:r>
    </w:p>
    <w:p>
      <w:pPr>
        <w:pStyle w:val="ListParagraph"/>
        <w:widowControl w:val="false"/>
        <w:spacing w:before="0" w:after="0"/>
        <w:contextualSpacing/>
        <w:jc w:val="both"/>
        <w:rPr>
          <w:rFonts w:eastAsia="Times New Roman" w:cs="Arial"/>
          <w:lang w:eastAsia="it-IT"/>
        </w:rPr>
      </w:pPr>
      <w:r>
        <w:rPr>
          <w:rFonts w:eastAsia="Times New Roman" w:cs="Arial"/>
          <w:lang w:eastAsia="it-IT"/>
        </w:rPr>
      </w:r>
    </w:p>
    <w:p>
      <w:pPr>
        <w:pStyle w:val="ListParagraph"/>
        <w:widowControl w:val="false"/>
        <w:spacing w:before="0" w:after="0"/>
        <w:contextualSpacing/>
        <w:jc w:val="both"/>
        <w:rPr>
          <w:rFonts w:eastAsia="Times New Roman" w:cs="Arial"/>
          <w:lang w:eastAsia="it-IT"/>
        </w:rPr>
      </w:pPr>
      <w:r>
        <w:rPr>
          <w:rFonts w:eastAsia="Times New Roman" w:cs="Arial"/>
          <w:lang w:eastAsia="it-IT"/>
        </w:rPr>
      </w:r>
    </w:p>
    <w:p>
      <w:pPr>
        <w:pStyle w:val="Standard"/>
        <w:widowControl/>
        <w:spacing w:lineRule="auto" w:line="276"/>
        <w:ind w:right="57" w:hanging="0"/>
        <w:jc w:val="both"/>
        <w:textAlignment w:val="baseline"/>
        <w:rPr>
          <w:rFonts w:ascii="Calibri" w:hAnsi="Calibri" w:eastAsia="Calibri" w:asciiTheme="minorHAnsi" w:hAnsiTheme="minorHAnsi"/>
          <w:color w:val="000000"/>
          <w:sz w:val="22"/>
          <w:szCs w:val="22"/>
          <w:lang w:eastAsia="en-US"/>
        </w:rPr>
      </w:pPr>
      <w:r>
        <w:rPr>
          <w:rFonts w:cs="Arial" w:ascii="Calibri" w:hAnsi="Calibri" w:asciiTheme="minorHAnsi" w:hAnsiTheme="minorHAnsi"/>
          <w:b/>
          <w:sz w:val="22"/>
          <w:szCs w:val="22"/>
          <w:u w:val="single"/>
        </w:rPr>
        <w:t xml:space="preserve">2.8 </w:t>
      </w:r>
      <w:r>
        <w:rPr>
          <w:rFonts w:eastAsia="Calibri" w:ascii="Calibri" w:hAnsi="Calibri" w:asciiTheme="minorHAnsi" w:hAnsiTheme="minorHAnsi"/>
          <w:color w:val="000000"/>
          <w:sz w:val="22"/>
          <w:szCs w:val="22"/>
          <w:lang w:eastAsia="en-US"/>
        </w:rPr>
        <w:t>di essere edotto degli obbl</w:t>
      </w:r>
      <w:r>
        <w:rPr>
          <w:rFonts w:eastAsia="Calibri" w:cs="Calibri" w:ascii="Calibri" w:hAnsi="Calibri" w:asciiTheme="minorHAnsi" w:hAnsiTheme="minorHAnsi"/>
          <w:sz w:val="22"/>
          <w:szCs w:val="22"/>
          <w:lang w:eastAsia="en-US"/>
        </w:rPr>
        <w:t>ighi derivanti dal Protocollo di Legalità/Codice Etico e di comportamento adottato dalla stazione appaltante,e si impegna, in caso di aggiudicazione, ad osservare e a far osservare ai propri dipendenti e collaboratori, per quanto applicabile, il suddetto codice, pena la risoluzione del contratto</w:t>
      </w:r>
      <w:r>
        <w:rPr>
          <w:rFonts w:eastAsia="Calibri" w:ascii="Calibri" w:hAnsi="Calibri" w:asciiTheme="minorHAnsi" w:hAnsiTheme="minorHAnsi"/>
          <w:color w:val="000000"/>
          <w:sz w:val="22"/>
          <w:szCs w:val="22"/>
          <w:lang w:eastAsia="en-US"/>
        </w:rPr>
        <w:t>;</w:t>
      </w:r>
    </w:p>
    <w:p>
      <w:pPr>
        <w:pStyle w:val="Standard"/>
        <w:widowControl/>
        <w:spacing w:lineRule="auto" w:line="276"/>
        <w:ind w:right="57" w:hanging="0"/>
        <w:jc w:val="both"/>
        <w:textAlignment w:val="baseline"/>
        <w:rPr>
          <w:rFonts w:ascii="Calibri" w:hAnsi="Calibri" w:asciiTheme="minorHAnsi" w:hAnsiTheme="minorHAnsi"/>
          <w:sz w:val="22"/>
          <w:szCs w:val="22"/>
        </w:rPr>
      </w:pPr>
      <w:r>
        <w:rPr>
          <w:rFonts w:asciiTheme="minorHAnsi" w:hAnsiTheme="minorHAnsi" w:ascii="Calibri" w:hAnsi="Calibri"/>
          <w:sz w:val="22"/>
          <w:szCs w:val="22"/>
        </w:rPr>
      </w:r>
    </w:p>
    <w:p>
      <w:pPr>
        <w:pStyle w:val="ListParagraph"/>
        <w:numPr>
          <w:ilvl w:val="0"/>
          <w:numId w:val="9"/>
        </w:numPr>
        <w:spacing w:lineRule="auto" w:line="240" w:before="0" w:after="0"/>
        <w:contextualSpacing/>
        <w:jc w:val="center"/>
        <w:rPr>
          <w:rFonts w:eastAsia="Times New Roman" w:cs="Arial"/>
          <w:lang w:eastAsia="it-IT"/>
        </w:rPr>
      </w:pPr>
      <w:r>
        <w:rPr>
          <w:rFonts w:eastAsia="Times New Roman" w:cs="Arial"/>
          <w:b/>
          <w:i/>
          <w:lang w:eastAsia="it-IT"/>
        </w:rPr>
        <w:t>(barrare la dichiarazione di interesse)</w:t>
      </w:r>
    </w:p>
    <w:p>
      <w:pPr>
        <w:pStyle w:val="NormalWeb"/>
        <w:numPr>
          <w:ilvl w:val="0"/>
          <w:numId w:val="5"/>
        </w:numPr>
        <w:spacing w:lineRule="auto" w:line="276" w:before="280" w:after="280"/>
        <w:ind w:left="567" w:hanging="567"/>
        <w:jc w:val="both"/>
        <w:rPr>
          <w:rFonts w:ascii="Calibri" w:hAnsi="Calibri" w:cs="Arial" w:asciiTheme="minorHAnsi" w:hAnsiTheme="minorHAnsi"/>
          <w:bCs/>
          <w:iCs/>
          <w:sz w:val="22"/>
          <w:szCs w:val="22"/>
        </w:rPr>
      </w:pPr>
      <w:r>
        <w:rPr>
          <w:rFonts w:cs="Arial" w:ascii="Calibri" w:hAnsi="Calibri" w:asciiTheme="minorHAnsi" w:hAnsiTheme="minorHAnsi"/>
          <w:b/>
          <w:bCs/>
          <w:iCs/>
          <w:sz w:val="22"/>
          <w:szCs w:val="22"/>
          <w:u w:val="single"/>
        </w:rPr>
        <w:t>2.</w:t>
      </w:r>
      <w:r>
        <w:rPr>
          <w:rFonts w:cs="Arial" w:ascii="Calibri" w:hAnsi="Calibri" w:asciiTheme="minorHAnsi" w:hAnsiTheme="minorHAnsi"/>
          <w:b/>
          <w:sz w:val="22"/>
          <w:szCs w:val="22"/>
          <w:u w:val="single"/>
        </w:rPr>
        <w:t xml:space="preserve">9 </w:t>
      </w:r>
      <w:r>
        <w:rPr>
          <w:rFonts w:cs="Arial" w:ascii="Calibri" w:hAnsi="Calibri" w:asciiTheme="minorHAnsi" w:hAnsiTheme="minorHAnsi"/>
          <w:sz w:val="22"/>
          <w:szCs w:val="22"/>
        </w:rPr>
        <w:t>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quest’ultima ai sensi dell’articolo 53, comma 16-ter, del D.lgs. n. 165/2001 e s.m.i.;</w:t>
      </w:r>
    </w:p>
    <w:p>
      <w:pPr>
        <w:pStyle w:val="NormalWeb"/>
        <w:spacing w:lineRule="auto" w:line="276" w:before="280" w:after="280"/>
        <w:jc w:val="both"/>
        <w:rPr>
          <w:rFonts w:ascii="Calibri" w:hAnsi="Calibri" w:cs="Arial" w:asciiTheme="minorHAnsi" w:hAnsiTheme="minorHAnsi"/>
          <w:b/>
          <w:b/>
          <w:bCs/>
          <w:iCs/>
          <w:sz w:val="22"/>
          <w:szCs w:val="22"/>
        </w:rPr>
      </w:pPr>
      <w:r>
        <w:rPr>
          <w:rFonts w:cs="Arial" w:ascii="Calibri" w:hAnsi="Calibri" w:asciiTheme="minorHAnsi" w:hAnsiTheme="minorHAnsi"/>
          <w:b/>
          <w:bCs/>
          <w:iCs/>
          <w:sz w:val="22"/>
          <w:szCs w:val="22"/>
        </w:rPr>
        <w:t>OPPURE</w:t>
      </w:r>
    </w:p>
    <w:p>
      <w:pPr>
        <w:pStyle w:val="NormalWeb"/>
        <w:numPr>
          <w:ilvl w:val="0"/>
          <w:numId w:val="6"/>
        </w:numPr>
        <w:spacing w:lineRule="auto" w:line="276" w:before="280" w:after="280"/>
        <w:ind w:left="567" w:hanging="567"/>
        <w:jc w:val="both"/>
        <w:rPr>
          <w:rFonts w:ascii="Calibri" w:hAnsi="Calibri" w:cs="Arial" w:asciiTheme="minorHAnsi" w:hAnsiTheme="minorHAnsi"/>
          <w:b/>
          <w:b/>
          <w:bCs/>
          <w:iCs/>
          <w:sz w:val="22"/>
          <w:szCs w:val="22"/>
        </w:rPr>
      </w:pPr>
      <w:r>
        <w:rPr>
          <w:rFonts w:cs="Arial" w:ascii="Calibri" w:hAnsi="Calibri" w:asciiTheme="minorHAnsi" w:hAnsiTheme="minorHAnsi"/>
          <w:sz w:val="22"/>
          <w:szCs w:val="22"/>
        </w:rPr>
        <w:t>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quest’ultima ai sensi dell’articolo 53, comma 16-ter, del D.lgs. n. 165/2001 e s.m.i.</w:t>
      </w:r>
    </w:p>
    <w:p>
      <w:pPr>
        <w:pStyle w:val="Normal"/>
        <w:jc w:val="both"/>
        <w:rPr>
          <w:rFonts w:cs="Arial"/>
        </w:rPr>
      </w:pPr>
      <w:r>
        <w:rPr>
          <w:rFonts w:cs="Arial"/>
        </w:rPr>
        <w:t>_______________lì________________</w:t>
      </w:r>
    </w:p>
    <w:p>
      <w:pPr>
        <w:pStyle w:val="Normal"/>
        <w:jc w:val="both"/>
        <w:rPr>
          <w:rFonts w:cs="Arial"/>
        </w:rPr>
      </w:pPr>
      <w:r>
        <w:rPr>
          <w:rFonts w:cs="Arial"/>
        </w:rPr>
      </w:r>
    </w:p>
    <w:p>
      <w:pPr>
        <w:pStyle w:val="Normal"/>
        <w:jc w:val="right"/>
        <w:rPr>
          <w:rFonts w:cs="Arial"/>
        </w:rPr>
      </w:pPr>
      <w:r>
        <w:rPr>
          <w:rFonts w:cs="Arial"/>
        </w:rPr>
      </w:r>
    </w:p>
    <w:p>
      <w:pPr>
        <w:pStyle w:val="Normal"/>
        <w:spacing w:before="0" w:after="200"/>
        <w:jc w:val="right"/>
        <w:rPr>
          <w:rFonts w:cs="Arial"/>
          <w:i/>
          <w:i/>
        </w:rPr>
      </w:pPr>
      <w:r>
        <w:rPr>
          <w:rFonts w:cs="Arial"/>
        </w:rPr>
        <w:t>_____________________________________</w:t>
      </w:r>
      <w:r>
        <w:rPr>
          <w:rFonts w:cs="Arial"/>
          <w:i/>
        </w:rPr>
        <w:tab/>
        <w:tab/>
        <w:tab/>
      </w:r>
    </w:p>
    <w:sectPr>
      <w:footerReference w:type="default" r:id="rId2"/>
      <w:type w:val="nextPage"/>
      <w:pgSz w:w="11906" w:h="16838"/>
      <w:pgMar w:left="1134" w:right="1134" w:header="0"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swiss"/>
    <w:pitch w:val="variable"/>
  </w:font>
  <w:font w:name="OpenSymbol">
    <w:altName w:val="Arial Unicode MS"/>
    <w:charset w:val="01"/>
    <w:family w:val="auto"/>
    <w:pitch w:val="default"/>
  </w:font>
  <w:font w:name="Arial MT">
    <w:charset w:val="01"/>
    <w:family w:val="auto"/>
    <w:pitch w:val="default"/>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left="144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pStyle w:val="Titolo1"/>
      <w:numFmt w:val="bullet"/>
      <w:lvlText w:val="-"/>
      <w:lvlJc w:val="left"/>
      <w:pPr>
        <w:tabs>
          <w:tab w:val="num" w:pos="0"/>
        </w:tabs>
        <w:ind w:left="720" w:hanging="360"/>
      </w:pPr>
      <w:rPr>
        <w:rFonts w:ascii="OpenSymbol" w:hAnsi="OpenSymbol" w:cs="OpenSymbol" w:hint="default"/>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360" w:hanging="360"/>
      </w:pPr>
      <w:rPr>
        <w:rFonts w:ascii="Arial MT" w:hAnsi="Arial MT" w:cs="Arial MT" w:hint="default"/>
      </w:rPr>
    </w:lvl>
    <w:lvl w:ilvl="1">
      <w:start w:val="1"/>
      <w:numFmt w:val="lowerLetter"/>
      <w:lvlText w:val="%2)"/>
      <w:lvlJc w:val="left"/>
      <w:pPr>
        <w:tabs>
          <w:tab w:val="num" w:pos="0"/>
        </w:tabs>
        <w:ind w:left="1080" w:hanging="360"/>
      </w:pPr>
    </w:lvl>
    <w:lvl w:ilvl="2">
      <w:start w:val="0"/>
      <w:numFmt w:val="bullet"/>
      <w:lvlText w:val="-"/>
      <w:lvlJc w:val="left"/>
      <w:pPr>
        <w:tabs>
          <w:tab w:val="num" w:pos="0"/>
        </w:tabs>
        <w:ind w:left="1980" w:hanging="360"/>
      </w:pPr>
      <w:rPr>
        <w:rFonts w:ascii="Calibri" w:hAnsi="Calibri" w:cs="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numFmt w:val="bullet"/>
      <w:lvlText w:val="□"/>
      <w:lvlJc w:val="left"/>
      <w:pPr>
        <w:tabs>
          <w:tab w:val="num" w:pos="0"/>
        </w:tabs>
        <w:ind w:left="720" w:hanging="360"/>
      </w:pPr>
      <w:rPr>
        <w:rFonts w:ascii="Arial MT" w:hAnsi="Arial MT" w:cs="Arial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Arial MT" w:hAnsi="Arial MT" w:cs="Arial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Arial MT" w:hAnsi="Arial MT" w:cs="Arial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Arial MT" w:hAnsi="Arial MT" w:cs="Arial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1440" w:hanging="360"/>
      </w:pPr>
      <w:rPr>
        <w:rFonts w:ascii="Arial MT" w:hAnsi="Arial MT" w:cs="Arial MT"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Arial MT" w:hAnsi="Arial MT" w:cs="Arial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40"/>
  <w:defaultTabStop w:val="708"/>
  <w:autoHyphenation w:val="true"/>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3" w:uiPriority="0"/>
    <w:lsdException w:name="Hyperlink" w:uiPriority="0"/>
    <w:lsdException w:name="Strong" w:uiPriority="22" w:semiHidden="0" w:unhideWhenUsed="0" w:qFormat="1"/>
    <w:lsdException w:name="Emphasis" w:uiPriority="20" w:semiHidden="0" w:unhideWhenUsed="0" w:qFormat="1"/>
    <w:lsdException w:name="Plain Text" w:uiPriority="0"/>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c031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next w:val="Normal"/>
    <w:link w:val="Titolo1Carattere"/>
    <w:qFormat/>
    <w:rsid w:val="00022465"/>
    <w:pPr>
      <w:keepNext w:val="true"/>
      <w:widowControl w:val="false"/>
      <w:numPr>
        <w:ilvl w:val="0"/>
        <w:numId w:val="1"/>
      </w:numPr>
      <w:suppressAutoHyphens w:val="true"/>
      <w:spacing w:lineRule="auto" w:line="240" w:before="0" w:after="0"/>
      <w:jc w:val="center"/>
      <w:outlineLvl w:val="0"/>
    </w:pPr>
    <w:rPr>
      <w:rFonts w:ascii="Times New Roman" w:hAnsi="Times New Roman" w:eastAsia="Times New Roman" w:cs="Times New Roman"/>
      <w:b/>
      <w:sz w:val="24"/>
      <w:szCs w:val="20"/>
      <w:lang w:eastAsia="ar-SA"/>
    </w:rPr>
  </w:style>
  <w:style w:type="paragraph" w:styleId="Titolo2">
    <w:name w:val="Heading 2"/>
    <w:basedOn w:val="Normal"/>
    <w:next w:val="Normal"/>
    <w:link w:val="Titolo2Carattere"/>
    <w:uiPriority w:val="9"/>
    <w:semiHidden/>
    <w:unhideWhenUsed/>
    <w:qFormat/>
    <w:rsid w:val="00c058a4"/>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CollegamentoInternet">
    <w:name w:val="Collegamento Internet"/>
    <w:rsid w:val="002f74b3"/>
    <w:rPr>
      <w:color w:val="0000FF"/>
      <w:u w:val="single"/>
    </w:rPr>
  </w:style>
  <w:style w:type="character" w:styleId="Corpodeltesto3Carattere" w:customStyle="1">
    <w:name w:val="Corpo del testo 3 Carattere"/>
    <w:basedOn w:val="DefaultParagraphFont"/>
    <w:link w:val="Corpodeltesto3"/>
    <w:qFormat/>
    <w:rsid w:val="00ea3957"/>
    <w:rPr>
      <w:rFonts w:ascii="Times New Roman" w:hAnsi="Times New Roman" w:eastAsia="Times New Roman" w:cs="Times New Roman"/>
      <w:sz w:val="16"/>
      <w:szCs w:val="16"/>
      <w:lang w:eastAsia="it-IT"/>
    </w:rPr>
  </w:style>
  <w:style w:type="character" w:styleId="Corpodeltesto2Carattere" w:customStyle="1">
    <w:name w:val="Corpo del testo 2 Carattere"/>
    <w:basedOn w:val="DefaultParagraphFont"/>
    <w:link w:val="Corpodeltesto2"/>
    <w:uiPriority w:val="99"/>
    <w:semiHidden/>
    <w:qFormat/>
    <w:rsid w:val="00562d0d"/>
    <w:rPr/>
  </w:style>
  <w:style w:type="character" w:styleId="RientrocorpodeltestoCarattere" w:customStyle="1">
    <w:name w:val="Rientro corpo del testo Carattere"/>
    <w:basedOn w:val="DefaultParagraphFont"/>
    <w:link w:val="Rientrocorpodeltesto"/>
    <w:uiPriority w:val="99"/>
    <w:qFormat/>
    <w:rsid w:val="00022465"/>
    <w:rPr/>
  </w:style>
  <w:style w:type="character" w:styleId="Titolo1Carattere" w:customStyle="1">
    <w:name w:val="Titolo 1 Carattere"/>
    <w:basedOn w:val="DefaultParagraphFont"/>
    <w:link w:val="Titolo1"/>
    <w:qFormat/>
    <w:rsid w:val="00022465"/>
    <w:rPr>
      <w:rFonts w:ascii="Times New Roman" w:hAnsi="Times New Roman" w:eastAsia="Times New Roman" w:cs="Times New Roman"/>
      <w:b/>
      <w:sz w:val="24"/>
      <w:szCs w:val="20"/>
      <w:lang w:eastAsia="ar-SA"/>
    </w:rPr>
  </w:style>
  <w:style w:type="character" w:styleId="TestonormaleCarattere" w:customStyle="1">
    <w:name w:val="Testo normale Carattere"/>
    <w:basedOn w:val="DefaultParagraphFont"/>
    <w:link w:val="Testonormale"/>
    <w:qFormat/>
    <w:rsid w:val="00022465"/>
    <w:rPr>
      <w:rFonts w:ascii="Courier New" w:hAnsi="Courier New" w:eastAsia="Times New Roman" w:cs="Times New Roman"/>
    </w:rPr>
  </w:style>
  <w:style w:type="character" w:styleId="CorpodeltestoCarattere" w:customStyle="1">
    <w:name w:val="Corpo del testo Carattere"/>
    <w:basedOn w:val="DefaultParagraphFont"/>
    <w:link w:val="Corpodeltesto"/>
    <w:uiPriority w:val="99"/>
    <w:semiHidden/>
    <w:qFormat/>
    <w:rsid w:val="001101d3"/>
    <w:rPr/>
  </w:style>
  <w:style w:type="character" w:styleId="Titolo2Carattere" w:customStyle="1">
    <w:name w:val="Titolo 2 Carattere"/>
    <w:basedOn w:val="DefaultParagraphFont"/>
    <w:link w:val="Titolo2"/>
    <w:uiPriority w:val="9"/>
    <w:semiHidden/>
    <w:qFormat/>
    <w:rsid w:val="00c058a4"/>
    <w:rPr>
      <w:rFonts w:ascii="Cambria" w:hAnsi="Cambria" w:eastAsia="" w:cs="" w:asciiTheme="majorHAnsi" w:cstheme="majorBidi" w:eastAsiaTheme="majorEastAsia" w:hAnsiTheme="majorHAnsi"/>
      <w:color w:val="365F91" w:themeColor="accent1" w:themeShade="bf"/>
      <w:sz w:val="26"/>
      <w:szCs w:val="26"/>
    </w:rPr>
  </w:style>
  <w:style w:type="character" w:styleId="TestofumettoCarattere" w:customStyle="1">
    <w:name w:val="Testo fumetto Carattere"/>
    <w:basedOn w:val="DefaultParagraphFont"/>
    <w:link w:val="Testofumetto"/>
    <w:uiPriority w:val="99"/>
    <w:semiHidden/>
    <w:qFormat/>
    <w:rsid w:val="00ec0612"/>
    <w:rPr>
      <w:rFonts w:ascii="Segoe UI" w:hAnsi="Segoe UI" w:cs="Segoe UI"/>
      <w:sz w:val="18"/>
      <w:szCs w:val="18"/>
    </w:rPr>
  </w:style>
  <w:style w:type="character" w:styleId="IntestazioneCarattere" w:customStyle="1">
    <w:name w:val="Intestazione Carattere"/>
    <w:basedOn w:val="DefaultParagraphFont"/>
    <w:link w:val="Intestazione"/>
    <w:uiPriority w:val="99"/>
    <w:qFormat/>
    <w:rsid w:val="008846e4"/>
    <w:rPr/>
  </w:style>
  <w:style w:type="character" w:styleId="PidipaginaCarattere" w:customStyle="1">
    <w:name w:val="Piè di pagina Carattere"/>
    <w:basedOn w:val="DefaultParagraphFont"/>
    <w:link w:val="Pidipagina"/>
    <w:uiPriority w:val="99"/>
    <w:qFormat/>
    <w:rsid w:val="008846e4"/>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deltestoCarattere"/>
    <w:uiPriority w:val="99"/>
    <w:semiHidden/>
    <w:unhideWhenUsed/>
    <w:rsid w:val="001101d3"/>
    <w:pPr>
      <w:spacing w:before="0" w:after="12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88507b"/>
    <w:pPr>
      <w:spacing w:before="0" w:after="200"/>
      <w:ind w:left="720" w:hanging="0"/>
      <w:contextualSpacing/>
    </w:pPr>
    <w:rPr/>
  </w:style>
  <w:style w:type="paragraph" w:styleId="NormalWeb">
    <w:name w:val="Normal (Web)"/>
    <w:basedOn w:val="Normal"/>
    <w:unhideWhenUsed/>
    <w:qFormat/>
    <w:rsid w:val="00d862f7"/>
    <w:pPr>
      <w:spacing w:lineRule="auto" w:line="240" w:beforeAutospacing="1" w:afterAutospacing="1"/>
    </w:pPr>
    <w:rPr>
      <w:rFonts w:ascii="Times New Roman" w:hAnsi="Times New Roman" w:eastAsia="Times New Roman" w:cs="Times New Roman"/>
      <w:sz w:val="24"/>
      <w:szCs w:val="24"/>
      <w:lang w:eastAsia="it-IT"/>
    </w:rPr>
  </w:style>
  <w:style w:type="paragraph" w:styleId="BodyText3">
    <w:name w:val="Body Text 3"/>
    <w:basedOn w:val="Normal"/>
    <w:link w:val="Corpodeltesto3Carattere"/>
    <w:qFormat/>
    <w:rsid w:val="00ea3957"/>
    <w:pPr>
      <w:spacing w:lineRule="auto" w:line="240" w:before="0" w:after="120"/>
    </w:pPr>
    <w:rPr>
      <w:rFonts w:ascii="Times New Roman" w:hAnsi="Times New Roman" w:eastAsia="Times New Roman" w:cs="Times New Roman"/>
      <w:sz w:val="16"/>
      <w:szCs w:val="16"/>
      <w:lang w:eastAsia="it-IT"/>
    </w:rPr>
  </w:style>
  <w:style w:type="paragraph" w:styleId="BodyText2">
    <w:name w:val="Body Text 2"/>
    <w:basedOn w:val="Normal"/>
    <w:link w:val="Corpodeltesto2Carattere"/>
    <w:uiPriority w:val="99"/>
    <w:semiHidden/>
    <w:unhideWhenUsed/>
    <w:qFormat/>
    <w:rsid w:val="00562d0d"/>
    <w:pPr>
      <w:spacing w:lineRule="auto" w:line="480" w:before="0" w:after="120"/>
    </w:pPr>
    <w:rPr/>
  </w:style>
  <w:style w:type="paragraph" w:styleId="Rientrocorpodeltesto">
    <w:name w:val="Body Text Indent"/>
    <w:basedOn w:val="Normal"/>
    <w:link w:val="RientrocorpodeltestoCarattere"/>
    <w:uiPriority w:val="99"/>
    <w:unhideWhenUsed/>
    <w:rsid w:val="00022465"/>
    <w:pPr>
      <w:spacing w:before="0" w:after="120"/>
      <w:ind w:left="283" w:hanging="0"/>
    </w:pPr>
    <w:rPr/>
  </w:style>
  <w:style w:type="paragraph" w:styleId="Sche3" w:customStyle="1">
    <w:name w:val="sche_3"/>
    <w:qFormat/>
    <w:rsid w:val="00022465"/>
    <w:pPr>
      <w:widowControl w:val="false"/>
      <w:suppressAutoHyphens w:val="true"/>
      <w:overflowPunct w:val="true"/>
      <w:bidi w:val="0"/>
      <w:spacing w:lineRule="auto" w:line="240" w:before="0" w:after="0"/>
      <w:jc w:val="both"/>
      <w:textAlignment w:val="baseline"/>
    </w:pPr>
    <w:rPr>
      <w:rFonts w:ascii="Times New Roman" w:hAnsi="Times New Roman" w:eastAsia="Arial" w:cs="Times New Roman"/>
      <w:color w:val="auto"/>
      <w:kern w:val="0"/>
      <w:sz w:val="20"/>
      <w:szCs w:val="20"/>
      <w:lang w:val="en-US" w:eastAsia="ar-SA" w:bidi="ar-SA"/>
    </w:rPr>
  </w:style>
  <w:style w:type="paragraph" w:styleId="PlainText">
    <w:name w:val="Plain Text"/>
    <w:basedOn w:val="Normal"/>
    <w:link w:val="TestonormaleCarattere"/>
    <w:qFormat/>
    <w:rsid w:val="00022465"/>
    <w:pPr>
      <w:spacing w:lineRule="auto" w:line="240" w:before="0" w:after="0"/>
    </w:pPr>
    <w:rPr>
      <w:rFonts w:ascii="Courier New" w:hAnsi="Courier New" w:eastAsia="Times New Roman" w:cs="Times New Roman"/>
    </w:rPr>
  </w:style>
  <w:style w:type="paragraph" w:styleId="Standard" w:customStyle="1">
    <w:name w:val="Standard"/>
    <w:qFormat/>
    <w:rsid w:val="00022465"/>
    <w:pPr>
      <w:widowControl w:val="false"/>
      <w:suppressAutoHyphens w:val="true"/>
      <w:bidi w:val="0"/>
      <w:spacing w:lineRule="auto" w:line="240" w:before="0" w:after="0"/>
      <w:jc w:val="left"/>
    </w:pPr>
    <w:rPr>
      <w:rFonts w:ascii="Times New Roman" w:hAnsi="Times New Roman" w:eastAsia="Times New Roman" w:cs="Times New Roman"/>
      <w:color w:val="auto"/>
      <w:kern w:val="2"/>
      <w:sz w:val="20"/>
      <w:szCs w:val="20"/>
      <w:lang w:eastAsia="it-IT" w:val="it-IT" w:bidi="ar-SA"/>
    </w:rPr>
  </w:style>
  <w:style w:type="paragraph" w:styleId="Corpodeltesto31" w:customStyle="1">
    <w:name w:val="Corpo del testo 31"/>
    <w:basedOn w:val="Normal"/>
    <w:qFormat/>
    <w:rsid w:val="0095430a"/>
    <w:pPr>
      <w:suppressAutoHyphens w:val="true"/>
      <w:spacing w:lineRule="auto" w:line="240" w:before="0" w:after="0"/>
      <w:jc w:val="both"/>
    </w:pPr>
    <w:rPr>
      <w:rFonts w:ascii="Times New Roman" w:hAnsi="Times New Roman" w:eastAsia="Times New Roman" w:cs="Times New Roman"/>
      <w:sz w:val="24"/>
      <w:szCs w:val="24"/>
      <w:lang w:eastAsia="ar-SA"/>
    </w:rPr>
  </w:style>
  <w:style w:type="paragraph" w:styleId="Default" w:customStyle="1">
    <w:name w:val="Default"/>
    <w:qFormat/>
    <w:rsid w:val="007d66d0"/>
    <w:pPr>
      <w:widowControl/>
      <w:bidi w:val="0"/>
      <w:spacing w:lineRule="auto" w:line="240" w:before="0" w:after="0"/>
      <w:jc w:val="left"/>
    </w:pPr>
    <w:rPr>
      <w:rFonts w:ascii="Calibri" w:hAnsi="Calibri" w:cs="Calibri" w:eastAsia="Calibri"/>
      <w:color w:val="000000"/>
      <w:kern w:val="0"/>
      <w:sz w:val="24"/>
      <w:szCs w:val="24"/>
      <w:lang w:val="it-IT" w:eastAsia="en-US" w:bidi="ar-SA"/>
    </w:rPr>
  </w:style>
  <w:style w:type="paragraph" w:styleId="BalloonText">
    <w:name w:val="Balloon Text"/>
    <w:basedOn w:val="Normal"/>
    <w:link w:val="TestofumettoCarattere"/>
    <w:uiPriority w:val="99"/>
    <w:semiHidden/>
    <w:unhideWhenUsed/>
    <w:qFormat/>
    <w:rsid w:val="00ec0612"/>
    <w:pPr>
      <w:spacing w:lineRule="auto" w:line="240" w:before="0" w:after="0"/>
    </w:pPr>
    <w:rPr>
      <w:rFonts w:ascii="Segoe UI" w:hAnsi="Segoe UI" w:cs="Segoe UI"/>
      <w:sz w:val="18"/>
      <w:szCs w:val="18"/>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846e4"/>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8846e4"/>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numbering" w:styleId="RTFNum10" w:customStyle="1">
    <w:name w:val="RTF_Num 10"/>
    <w:qFormat/>
    <w:rsid w:val="00022465"/>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styleId="Grigliatabella">
    <w:name w:val="Table Grid"/>
    <w:basedOn w:val="Tabellanormale"/>
    <w:uiPriority w:val="59"/>
    <w:rsid w:val="00c72bcd"/>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7E4D5-6A07-41AC-9E40-22B86E65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LibreOffice/6.4.7.2$Windows_X86_64 LibreOffice_project/639b8ac485750d5696d7590a72ef1b496725cfb5</Application>
  <Pages>10</Pages>
  <Words>3149</Words>
  <Characters>21419</Characters>
  <CharactersWithSpaces>24433</CharactersWithSpaces>
  <Paragraphs>124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2025-02-21T15:42:00Z</dcterms:created>
  <dc:creator>Postazione 3</dc:creator>
  <dc:description/>
  <dc:language>it-IT</dc:language>
  <cp:lastModifiedBy/>
  <cp:lastPrinted>2023-07-10T12:28:00Z</cp:lastPrinted>
  <dcterms:modified xsi:type="dcterms:W3CDTF">2026-07-13T14:32:23Z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